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21A3D8">
      <w:pPr>
        <w:spacing w:line="600" w:lineRule="exact"/>
        <w:jc w:val="left"/>
        <w:outlineLvl w:val="9"/>
        <w:rPr>
          <w:rFonts w:ascii="方正小标宋简体" w:hAnsi="宋体" w:eastAsia="方正小标宋简体"/>
          <w:szCs w:val="21"/>
        </w:rPr>
      </w:pPr>
      <w:bookmarkStart w:id="0" w:name="_Toc15306267"/>
    </w:p>
    <w:p w14:paraId="4107D137">
      <w:pPr>
        <w:pStyle w:val="2"/>
        <w:spacing w:before="93"/>
      </w:pPr>
    </w:p>
    <w:p w14:paraId="70195C27">
      <w:pPr>
        <w:spacing w:line="600" w:lineRule="exact"/>
        <w:jc w:val="center"/>
        <w:outlineLvl w:val="9"/>
        <w:rPr>
          <w:rFonts w:ascii="方正小标宋简体" w:hAnsi="宋体" w:eastAsia="方正小标宋简体"/>
          <w:sz w:val="72"/>
          <w:szCs w:val="72"/>
        </w:rPr>
      </w:pPr>
    </w:p>
    <w:p w14:paraId="1E7AD931">
      <w:pPr>
        <w:spacing w:line="600" w:lineRule="exact"/>
        <w:jc w:val="center"/>
        <w:outlineLvl w:val="9"/>
        <w:rPr>
          <w:rFonts w:ascii="方正小标宋简体" w:hAnsi="宋体" w:eastAsia="方正小标宋简体"/>
          <w:sz w:val="72"/>
          <w:szCs w:val="72"/>
        </w:rPr>
      </w:pPr>
    </w:p>
    <w:p w14:paraId="62E8C18E">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77425"/>
      <w:bookmarkStart w:id="2" w:name="_Toc27105"/>
      <w:bookmarkStart w:id="3" w:name="_Toc15378441"/>
      <w:bookmarkStart w:id="4" w:name="_Toc15396597"/>
      <w:bookmarkStart w:id="5" w:name="_Toc15377193"/>
      <w:bookmarkStart w:id="6" w:name="_Toc15396475"/>
      <w:r>
        <w:rPr>
          <w:rFonts w:hint="eastAsia" w:ascii="方正小标宋简体" w:hAnsi="方正小标宋简体" w:eastAsia="方正小标宋简体" w:cs="方正小标宋简体"/>
          <w:sz w:val="72"/>
          <w:szCs w:val="72"/>
        </w:rPr>
        <w:t>2023年度</w:t>
      </w:r>
      <w:bookmarkEnd w:id="1"/>
      <w:bookmarkEnd w:id="2"/>
      <w:bookmarkEnd w:id="3"/>
      <w:bookmarkEnd w:id="4"/>
      <w:bookmarkEnd w:id="5"/>
      <w:bookmarkEnd w:id="6"/>
    </w:p>
    <w:p w14:paraId="406B6856">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7" w:name="_Toc15396476"/>
      <w:bookmarkStart w:id="8" w:name="_Toc15378442"/>
      <w:bookmarkStart w:id="9" w:name="_Toc8296"/>
      <w:bookmarkStart w:id="10" w:name="_Toc15377194"/>
      <w:bookmarkStart w:id="11" w:name="_Toc15377426"/>
      <w:bookmarkStart w:id="12" w:name="_Toc15396598"/>
      <w:r>
        <w:rPr>
          <w:rFonts w:hint="eastAsia" w:ascii="方正小标宋简体" w:hAnsi="方正小标宋简体" w:eastAsia="方正小标宋简体" w:cs="方正小标宋简体"/>
          <w:sz w:val="72"/>
          <w:szCs w:val="72"/>
        </w:rPr>
        <w:t>四川省</w:t>
      </w:r>
      <w:bookmarkEnd w:id="0"/>
      <w:bookmarkStart w:id="13" w:name="_Toc15306268"/>
      <w:r>
        <w:rPr>
          <w:rFonts w:hint="eastAsia" w:ascii="方正小标宋简体" w:hAnsi="方正小标宋简体" w:eastAsia="方正小标宋简体" w:cs="方正小标宋简体"/>
          <w:sz w:val="72"/>
          <w:szCs w:val="72"/>
          <w:lang w:eastAsia="zh-CN"/>
        </w:rPr>
        <w:t>凉山彝族自治州第一人民医院</w:t>
      </w:r>
      <w:r>
        <w:rPr>
          <w:rFonts w:hint="eastAsia" w:ascii="方正小标宋简体" w:hAnsi="方正小标宋简体" w:eastAsia="方正小标宋简体" w:cs="方正小标宋简体"/>
          <w:sz w:val="72"/>
          <w:szCs w:val="72"/>
        </w:rPr>
        <w:t>单位决算</w:t>
      </w:r>
      <w:bookmarkEnd w:id="7"/>
      <w:bookmarkEnd w:id="8"/>
      <w:bookmarkEnd w:id="9"/>
      <w:bookmarkEnd w:id="10"/>
      <w:bookmarkEnd w:id="11"/>
      <w:bookmarkEnd w:id="12"/>
      <w:bookmarkEnd w:id="13"/>
    </w:p>
    <w:p w14:paraId="798BFFF5">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75D89E33">
      <w:pPr>
        <w:widowControl/>
        <w:jc w:val="center"/>
        <w:rPr>
          <w:rFonts w:ascii="黑体" w:hAnsi="黑体" w:eastAsia="黑体" w:cstheme="minorBidi"/>
          <w:sz w:val="28"/>
          <w:szCs w:val="28"/>
        </w:rPr>
      </w:pPr>
    </w:p>
    <w:p w14:paraId="55D3DADC">
      <w:pPr>
        <w:pStyle w:val="11"/>
      </w:pPr>
      <w:r>
        <w:rPr>
          <w:rFonts w:hint="eastAsia"/>
        </w:rPr>
        <w:t>公开时间：2023年</w:t>
      </w:r>
      <w:r>
        <w:rPr>
          <w:rFonts w:hint="eastAsia"/>
          <w:lang w:val="en-US" w:eastAsia="zh-CN"/>
        </w:rPr>
        <w:t>10</w:t>
      </w:r>
      <w:r>
        <w:rPr>
          <w:rFonts w:hint="eastAsia"/>
        </w:rPr>
        <w:t>月</w:t>
      </w:r>
      <w:r>
        <w:rPr>
          <w:rFonts w:hint="eastAsia"/>
          <w:lang w:val="en-US" w:eastAsia="zh-CN"/>
        </w:rPr>
        <w:t>10</w:t>
      </w:r>
      <w:r>
        <w:rPr>
          <w:rFonts w:hint="eastAsia"/>
        </w:rPr>
        <w:t>日</w:t>
      </w:r>
    </w:p>
    <w:sdt>
      <w:sdtPr>
        <w:rPr>
          <w:rFonts w:ascii="宋体" w:hAnsi="宋体" w:eastAsia="宋体" w:cs="Times New Roman"/>
          <w:kern w:val="2"/>
          <w:sz w:val="21"/>
          <w:szCs w:val="24"/>
          <w:lang w:val="en-US" w:eastAsia="zh-CN" w:bidi="ar-SA"/>
        </w:rPr>
        <w:id w:val="147468038"/>
        <w15:color w:val="DBDBDB"/>
        <w:docPartObj>
          <w:docPartGallery w:val="Table of Contents"/>
          <w:docPartUnique/>
        </w:docPartObj>
      </w:sdtPr>
      <w:sdtEndPr>
        <w:rPr>
          <w:rFonts w:hint="eastAsia" w:ascii="宋体" w:hAnsi="宋体" w:eastAsia="宋体" w:cs="宋体"/>
          <w:b w:val="0"/>
          <w:bCs w:val="0"/>
          <w:kern w:val="0"/>
          <w:sz w:val="24"/>
          <w:szCs w:val="24"/>
          <w:lang w:val="en-US" w:eastAsia="zh-CN" w:bidi="ar-SA"/>
        </w:rPr>
      </w:sdtEndPr>
      <w:sdtContent>
        <w:p w14:paraId="30E67C4F">
          <w:pPr>
            <w:spacing w:before="0" w:beforeLines="0" w:after="0" w:afterLines="0" w:line="240" w:lineRule="auto"/>
            <w:ind w:left="0" w:leftChars="0" w:right="0" w:rightChars="0" w:firstLine="0" w:firstLineChars="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TOC \o "1-2" \h \u </w:instrText>
          </w:r>
          <w:r>
            <w:rPr>
              <w:rFonts w:hint="eastAsia" w:ascii="宋体" w:hAnsi="宋体" w:eastAsia="宋体" w:cs="宋体"/>
              <w:b w:val="0"/>
              <w:bCs w:val="0"/>
              <w:sz w:val="24"/>
              <w:szCs w:val="24"/>
            </w:rPr>
            <w:fldChar w:fldCharType="separate"/>
          </w:r>
        </w:p>
        <w:p w14:paraId="7159510A">
          <w:pPr>
            <w:pStyle w:val="34"/>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_Toc31455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第一部分 单位概况</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_Toc31455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4</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77A372A9">
          <w:pPr>
            <w:pStyle w:val="35"/>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_Toc26561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一、主要职责</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_Toc26561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4</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48710791">
          <w:pPr>
            <w:pStyle w:val="35"/>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_Toc26790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二、</w:t>
          </w:r>
          <w:r>
            <w:rPr>
              <w:rFonts w:hint="eastAsia" w:ascii="宋体" w:hAnsi="宋体" w:eastAsia="宋体" w:cs="宋体"/>
              <w:b w:val="0"/>
              <w:bCs w:val="0"/>
              <w:sz w:val="24"/>
              <w:szCs w:val="24"/>
              <w:lang w:eastAsia="zh-CN"/>
            </w:rPr>
            <w:t>机构设置</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_Toc26790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10</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7614B6F6">
          <w:pPr>
            <w:pStyle w:val="34"/>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_Toc20871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第二部分 2023年度单位决算情况说明</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_Toc20871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11</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0B259FA4">
          <w:pPr>
            <w:pStyle w:val="35"/>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_Toc19878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一、收入支出决算总体情况说明</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_Toc19878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11</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2D133ECC">
          <w:pPr>
            <w:pStyle w:val="35"/>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_Toc2228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二、收入决算情况说明</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_Toc2228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11</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4865853B">
          <w:pPr>
            <w:pStyle w:val="35"/>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_Toc6589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三、支出决算情况说明</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_Toc6589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12</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0E152878">
          <w:pPr>
            <w:pStyle w:val="35"/>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_Toc11243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四、财政拨款收入支出决算总体情况说明</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_Toc11243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13</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6B90CF66">
          <w:pPr>
            <w:pStyle w:val="35"/>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_Toc25535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五、一般公共预算财政拨款支出决算情况说明</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_Toc25535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13</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3EB5D3E4">
          <w:pPr>
            <w:pStyle w:val="35"/>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_Toc8568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六、一般公共预算财政拨款基本支出决算情况说明</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_Toc8568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17</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2424A3EE">
          <w:pPr>
            <w:pStyle w:val="35"/>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_Toc6721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七、财政拨款“三公”经费支出决算情况说明</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_Toc6721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17</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4218BE86">
          <w:pPr>
            <w:pStyle w:val="35"/>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_Toc6310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八、政府性基金预算支出决算情况说明</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_Toc6310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19</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0FE7531E">
          <w:pPr>
            <w:pStyle w:val="35"/>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_Toc15339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九、国有资本经营预算支出决算情况说明</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_Toc15339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19</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660FA971">
          <w:pPr>
            <w:pStyle w:val="35"/>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_Toc11438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十、其他重要事项的情况说明</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_Toc11438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19</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06EA714D">
          <w:pPr>
            <w:pStyle w:val="34"/>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_Toc26848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第三部分 名词解释</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_Toc26848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21</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214B6FCE">
          <w:pPr>
            <w:pStyle w:val="34"/>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_Toc14148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第四部分 附件</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_Toc14148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25</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2CC5A513">
          <w:pPr>
            <w:pStyle w:val="34"/>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_Toc11556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第五部分 附表</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_Toc11556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26</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6347747E">
          <w:pPr>
            <w:pStyle w:val="35"/>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_Toc14254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一、收入支出决算总表</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_Toc14254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26</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73E7A0B8">
          <w:pPr>
            <w:pStyle w:val="35"/>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_Toc10796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二、收入决算表</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_Toc10796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26</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60F44B99">
          <w:pPr>
            <w:pStyle w:val="35"/>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_Toc18571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三、支出决算表</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_Toc18571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26</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15B63817">
          <w:pPr>
            <w:pStyle w:val="35"/>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_Toc18264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四、财政拨款收入支出决算总表</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_Toc18264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26</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15F46F91">
          <w:pPr>
            <w:pStyle w:val="35"/>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_Toc19177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五、财政拨款支出决算明细表</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_Toc19177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26</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353A47C3">
          <w:pPr>
            <w:pStyle w:val="35"/>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_Toc22331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六、一般公共预算财政拨款支出决算表</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_Toc22331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26</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3DA0F452">
          <w:pPr>
            <w:pStyle w:val="35"/>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_Toc26726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七、一般公共预算财政拨款支出决算明细表</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_Toc26726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26</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6B712061">
          <w:pPr>
            <w:pStyle w:val="35"/>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_Toc24818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八、一般公共预算财政拨款基本支出决算表</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_Toc24818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26</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6B5A3228">
          <w:pPr>
            <w:pStyle w:val="35"/>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_Toc18388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九、一般公共预算财政拨款项目支出决算表</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_Toc18388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26</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3CBD5D7E">
          <w:pPr>
            <w:pStyle w:val="35"/>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_Toc25480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十、政府性基金预算财政拨款收入支出决算表</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_Toc25480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26</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54F381CD">
          <w:pPr>
            <w:pStyle w:val="35"/>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_Toc6547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十一、国有资本经营预算财政拨款收入支出决算表</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_Toc6547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26</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6DFAB30D">
          <w:pPr>
            <w:pStyle w:val="35"/>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_Toc11632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十二、国有资本经营预算财政拨款支出决算表</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_Toc11632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26</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1B4F4EA6">
          <w:pPr>
            <w:pStyle w:val="35"/>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_Toc7051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十三、财政拨款“三公”经费支出决算表</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_Toc7051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26</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5A347E53">
          <w:pPr>
            <w:widowControl/>
            <w:spacing w:line="440" w:lineRule="exact"/>
            <w:jc w:val="left"/>
            <w:rPr>
              <w:rFonts w:hint="eastAsia" w:ascii="宋体" w:hAnsi="宋体" w:eastAsia="宋体" w:cs="宋体"/>
              <w:b w:val="0"/>
              <w:bCs w:val="0"/>
              <w:kern w:val="44"/>
              <w:sz w:val="24"/>
              <w:szCs w:val="24"/>
            </w:rPr>
          </w:pPr>
          <w:r>
            <w:rPr>
              <w:rFonts w:hint="eastAsia" w:ascii="宋体" w:hAnsi="宋体" w:eastAsia="宋体" w:cs="宋体"/>
              <w:b w:val="0"/>
              <w:bCs w:val="0"/>
              <w:sz w:val="24"/>
              <w:szCs w:val="24"/>
            </w:rPr>
            <w:fldChar w:fldCharType="end"/>
          </w:r>
          <w:bookmarkStart w:id="14" w:name="_Toc15377196"/>
          <w:bookmarkStart w:id="15" w:name="_Toc15396599"/>
        </w:p>
      </w:sdtContent>
    </w:sdt>
    <w:p w14:paraId="759A7DC4">
      <w:pPr>
        <w:pStyle w:val="3"/>
        <w:jc w:val="center"/>
        <w:rPr>
          <w:rFonts w:hint="eastAsia" w:ascii="黑体" w:hAnsi="黑体" w:eastAsia="黑体"/>
          <w:b w:val="0"/>
        </w:rPr>
      </w:pPr>
      <w:bookmarkStart w:id="16" w:name="_Toc31455"/>
    </w:p>
    <w:p w14:paraId="01592DE7">
      <w:pPr>
        <w:pStyle w:val="3"/>
        <w:jc w:val="center"/>
        <w:rPr>
          <w:rFonts w:hint="eastAsia" w:ascii="黑体" w:hAnsi="黑体" w:eastAsia="黑体"/>
          <w:b w:val="0"/>
        </w:rPr>
      </w:pPr>
    </w:p>
    <w:p w14:paraId="407D0904">
      <w:pPr>
        <w:pStyle w:val="3"/>
        <w:jc w:val="center"/>
        <w:rPr>
          <w:rFonts w:hint="eastAsia" w:ascii="黑体" w:hAnsi="黑体" w:eastAsia="黑体"/>
          <w:b w:val="0"/>
        </w:rPr>
      </w:pPr>
    </w:p>
    <w:p w14:paraId="40B1A1E2">
      <w:pPr>
        <w:pStyle w:val="3"/>
        <w:jc w:val="center"/>
        <w:rPr>
          <w:rFonts w:hint="eastAsia" w:ascii="黑体" w:hAnsi="黑体" w:eastAsia="黑体"/>
          <w:b w:val="0"/>
        </w:rPr>
      </w:pPr>
    </w:p>
    <w:p w14:paraId="62C1E676">
      <w:pPr>
        <w:rPr>
          <w:rFonts w:hint="eastAsia" w:ascii="黑体" w:hAnsi="黑体" w:eastAsia="黑体"/>
          <w:b w:val="0"/>
        </w:rPr>
      </w:pPr>
    </w:p>
    <w:p w14:paraId="0F19121A">
      <w:pPr>
        <w:pStyle w:val="2"/>
        <w:rPr>
          <w:rFonts w:hint="eastAsia" w:ascii="黑体" w:hAnsi="黑体" w:eastAsia="黑体"/>
          <w:b w:val="0"/>
        </w:rPr>
      </w:pPr>
    </w:p>
    <w:p w14:paraId="723A0F50">
      <w:pPr>
        <w:pStyle w:val="2"/>
        <w:rPr>
          <w:rFonts w:hint="eastAsia" w:ascii="黑体" w:hAnsi="黑体" w:eastAsia="黑体"/>
          <w:b w:val="0"/>
        </w:rPr>
      </w:pPr>
    </w:p>
    <w:p w14:paraId="3B5B0ED1">
      <w:pPr>
        <w:pStyle w:val="2"/>
        <w:rPr>
          <w:rFonts w:hint="eastAsia" w:ascii="黑体" w:hAnsi="黑体" w:eastAsia="黑体"/>
          <w:b w:val="0"/>
        </w:rPr>
      </w:pPr>
    </w:p>
    <w:p w14:paraId="1BFA2E32">
      <w:pPr>
        <w:pStyle w:val="2"/>
        <w:rPr>
          <w:rFonts w:hint="eastAsia" w:ascii="黑体" w:hAnsi="黑体" w:eastAsia="黑体"/>
          <w:b w:val="0"/>
        </w:rPr>
      </w:pPr>
    </w:p>
    <w:p w14:paraId="21E24676">
      <w:pPr>
        <w:pStyle w:val="3"/>
        <w:jc w:val="both"/>
        <w:rPr>
          <w:rFonts w:hint="eastAsia" w:ascii="黑体" w:hAnsi="黑体" w:eastAsia="黑体"/>
          <w:b w:val="0"/>
        </w:rPr>
      </w:pPr>
    </w:p>
    <w:p w14:paraId="1A5D90DA">
      <w:pPr>
        <w:rPr>
          <w:rFonts w:hint="eastAsia"/>
        </w:rPr>
      </w:pPr>
    </w:p>
    <w:p w14:paraId="4A863CC2">
      <w:pPr>
        <w:pStyle w:val="3"/>
        <w:keepNext/>
        <w:keepLines/>
        <w:pageBreakBefore w:val="0"/>
        <w:widowControl w:val="0"/>
        <w:kinsoku/>
        <w:wordWrap/>
        <w:overflowPunct/>
        <w:topLinePunct w:val="0"/>
        <w:autoSpaceDE/>
        <w:autoSpaceDN/>
        <w:bidi w:val="0"/>
        <w:adjustRightInd/>
        <w:snapToGrid/>
        <w:spacing w:before="0" w:line="579" w:lineRule="auto"/>
        <w:jc w:val="center"/>
        <w:textAlignment w:val="auto"/>
        <w:rPr>
          <w:rStyle w:val="28"/>
          <w:rFonts w:ascii="黑体" w:hAnsi="黑体" w:eastAsia="黑体"/>
          <w:b/>
          <w:bCs w:val="0"/>
        </w:rPr>
      </w:pPr>
      <w:r>
        <w:rPr>
          <w:rFonts w:hint="eastAsia" w:ascii="黑体" w:hAnsi="黑体" w:eastAsia="黑体"/>
          <w:b w:val="0"/>
        </w:rPr>
        <w:t>第一部分 单位</w:t>
      </w:r>
      <w:r>
        <w:rPr>
          <w:rStyle w:val="28"/>
          <w:rFonts w:hint="eastAsia" w:ascii="黑体" w:hAnsi="黑体" w:eastAsia="黑体"/>
          <w:b w:val="0"/>
          <w:bCs w:val="0"/>
        </w:rPr>
        <w:t>概况</w:t>
      </w:r>
      <w:bookmarkEnd w:id="14"/>
      <w:bookmarkEnd w:id="15"/>
      <w:bookmarkEnd w:id="16"/>
    </w:p>
    <w:p w14:paraId="2FF5A241">
      <w:pPr>
        <w:widowControl/>
        <w:jc w:val="left"/>
        <w:rPr>
          <w:rFonts w:ascii="黑体" w:eastAsia="黑体"/>
          <w:sz w:val="32"/>
          <w:szCs w:val="32"/>
        </w:rPr>
      </w:pPr>
    </w:p>
    <w:p w14:paraId="4829AB30">
      <w:pPr>
        <w:pStyle w:val="4"/>
        <w:numPr>
          <w:ilvl w:val="0"/>
          <w:numId w:val="1"/>
        </w:numPr>
        <w:rPr>
          <w:rStyle w:val="29"/>
          <w:rFonts w:ascii="黑体" w:hAnsi="黑体" w:eastAsia="黑体"/>
          <w:b w:val="0"/>
          <w:bCs w:val="0"/>
        </w:rPr>
      </w:pPr>
      <w:bookmarkStart w:id="17" w:name="_Toc26561"/>
      <w:bookmarkStart w:id="18" w:name="_Toc15396600"/>
      <w:bookmarkStart w:id="19" w:name="_Toc15377197"/>
      <w:r>
        <w:rPr>
          <w:rStyle w:val="29"/>
          <w:rFonts w:hint="eastAsia" w:ascii="黑体" w:hAnsi="黑体" w:eastAsia="黑体"/>
          <w:b w:val="0"/>
          <w:bCs w:val="0"/>
        </w:rPr>
        <w:t>主要职责</w:t>
      </w:r>
      <w:bookmarkEnd w:id="17"/>
    </w:p>
    <w:p w14:paraId="1A26A59A">
      <w:pPr>
        <w:pStyle w:val="13"/>
        <w:shd w:val="clear" w:color="auto" w:fill="FFFFFF"/>
        <w:spacing w:line="463" w:lineRule="atLeast"/>
        <w:ind w:firstLine="640" w:firstLineChars="200"/>
        <w:jc w:val="both"/>
        <w:rPr>
          <w:rFonts w:hint="eastAsia" w:ascii="仿宋" w:hAnsi="仿宋" w:eastAsia="仿宋"/>
          <w:color w:val="000000"/>
          <w:sz w:val="32"/>
          <w:szCs w:val="32"/>
        </w:rPr>
      </w:pPr>
      <w:r>
        <w:rPr>
          <w:rFonts w:hint="eastAsia" w:ascii="仿宋" w:hAnsi="仿宋" w:eastAsia="仿宋"/>
          <w:color w:val="000000"/>
          <w:sz w:val="32"/>
          <w:szCs w:val="32"/>
        </w:rPr>
        <w:t>凉山彝族自治州第一人民医院系政府举办非营利性三级甲等综合医院，始建于1939年，原名西康卫生院，1956年改为西昌专区医院，1968年更名为西昌地区医院，1979年5月1日定名为凉山彝族自治州第一人民医院。</w:t>
      </w:r>
    </w:p>
    <w:p w14:paraId="1298DBEA">
      <w:pPr>
        <w:pStyle w:val="13"/>
        <w:shd w:val="clear" w:color="auto" w:fill="FFFFFF"/>
        <w:spacing w:line="463" w:lineRule="atLeast"/>
        <w:ind w:firstLine="640" w:firstLineChars="200"/>
        <w:jc w:val="both"/>
        <w:rPr>
          <w:rFonts w:hint="eastAsia" w:ascii="仿宋" w:hAnsi="仿宋" w:eastAsia="仿宋"/>
          <w:color w:val="000000"/>
          <w:sz w:val="32"/>
          <w:szCs w:val="32"/>
        </w:rPr>
      </w:pPr>
      <w:r>
        <w:rPr>
          <w:rFonts w:hint="eastAsia" w:ascii="仿宋" w:hAnsi="仿宋" w:eastAsia="仿宋"/>
          <w:color w:val="000000"/>
          <w:sz w:val="32"/>
          <w:szCs w:val="32"/>
        </w:rPr>
        <w:t>医院现设院本部（顺城街院区）、长安院区、马道院区，总占地116.13亩，开放床位1600余张。2023年1月，新院区危急重症综合救治中心（省级区域医疗中心）正式开工建设，新院区总用地约300亩，建成后将达到2000张床位规模。医院职工人数3170余人，其中，博士、硕士研究生185人，高级职称328人，各级学术技术带头人及后备人选55人。医院拥有GE3.0T核磁共振、医科达直线加速器、飞利浦血管造影系统、西门子双源CT、迈柯唯体外膜肺、16人医用空气加压氧舱等先进的设备。</w:t>
      </w:r>
    </w:p>
    <w:p w14:paraId="2F192041">
      <w:pPr>
        <w:pStyle w:val="13"/>
        <w:shd w:val="clear" w:color="auto" w:fill="FFFFFF"/>
        <w:spacing w:line="463" w:lineRule="atLeast"/>
        <w:ind w:firstLine="640" w:firstLineChars="200"/>
        <w:jc w:val="both"/>
        <w:rPr>
          <w:rFonts w:hint="eastAsia" w:ascii="仿宋" w:hAnsi="仿宋" w:eastAsia="仿宋"/>
          <w:color w:val="000000"/>
          <w:sz w:val="32"/>
          <w:szCs w:val="32"/>
        </w:rPr>
      </w:pPr>
      <w:r>
        <w:rPr>
          <w:rFonts w:hint="eastAsia" w:ascii="仿宋" w:hAnsi="仿宋" w:eastAsia="仿宋"/>
          <w:color w:val="000000"/>
          <w:sz w:val="32"/>
          <w:szCs w:val="32"/>
        </w:rPr>
        <w:t>医院现有37个临床科室，34个护理单元，10个医技科室。拥有儿科、心血管内科、肾病内科、胸心血管外科、神经外科、骨科、肝胆胰胃肠外科、医学影像、护理、妇产科、肿瘤科、泌尿外科等13个省级重点专科和27个州级重点专科。医院是第一批国家级住院医师规范化培训基地，目前拥有全科、内科、外科、妇产科、儿科、麻醉科、放射科、超声医学科等8个国家级住院医师规范化培训专业基地和1个省级护士规范化培训基地。2023年成为西南医科大学研究生联合培养基地。</w:t>
      </w:r>
    </w:p>
    <w:p w14:paraId="4EE327BE">
      <w:pPr>
        <w:pStyle w:val="13"/>
        <w:shd w:val="clear" w:color="auto" w:fill="FFFFFF"/>
        <w:spacing w:line="463" w:lineRule="atLeast"/>
        <w:ind w:firstLine="640" w:firstLineChars="200"/>
        <w:jc w:val="both"/>
        <w:rPr>
          <w:rFonts w:hint="eastAsia" w:ascii="仿宋" w:hAnsi="仿宋" w:eastAsia="仿宋"/>
          <w:color w:val="000000"/>
          <w:sz w:val="32"/>
          <w:szCs w:val="32"/>
        </w:rPr>
      </w:pPr>
      <w:r>
        <w:rPr>
          <w:rFonts w:hint="eastAsia" w:ascii="仿宋" w:hAnsi="仿宋" w:eastAsia="仿宋"/>
          <w:color w:val="000000"/>
          <w:sz w:val="32"/>
          <w:szCs w:val="32"/>
        </w:rPr>
        <w:t>全院职工秉承“全心全意为各族群众健康服务”的宗旨，坚持“仁医仁术，同心同德”的院训，不断提高团队素质、医疗服务质量和教学科研学术水平，努力构建“医疗服务放心医院，民族团结模范医院”。</w:t>
      </w:r>
    </w:p>
    <w:p w14:paraId="7B67BC84">
      <w:pPr>
        <w:pStyle w:val="13"/>
        <w:shd w:val="clear" w:color="auto" w:fill="FFFFFF"/>
        <w:spacing w:line="463" w:lineRule="atLeast"/>
        <w:ind w:firstLine="640" w:firstLineChars="200"/>
        <w:jc w:val="both"/>
        <w:rPr>
          <w:rFonts w:hint="default" w:ascii="仿宋" w:hAnsi="仿宋" w:eastAsia="仿宋"/>
          <w:color w:val="000000"/>
          <w:sz w:val="32"/>
          <w:szCs w:val="32"/>
          <w:lang w:val="en-US" w:eastAsia="zh-CN"/>
        </w:rPr>
      </w:pPr>
      <w:r>
        <w:rPr>
          <w:rFonts w:hint="eastAsia" w:ascii="仿宋" w:hAnsi="仿宋" w:eastAsia="仿宋"/>
          <w:color w:val="000000"/>
          <w:sz w:val="32"/>
          <w:szCs w:val="32"/>
          <w:lang w:val="en-US" w:eastAsia="zh-CN"/>
        </w:rPr>
        <w:t>2023年重点工作完成情况：</w:t>
      </w:r>
    </w:p>
    <w:p w14:paraId="7AB4D45E">
      <w:pPr>
        <w:spacing w:line="580" w:lineRule="exact"/>
        <w:ind w:firstLine="640" w:firstLineChars="200"/>
        <w:rPr>
          <w:rFonts w:hint="eastAsia" w:ascii="仿宋" w:hAnsi="仿宋" w:eastAsia="仿宋"/>
          <w:b w:val="0"/>
          <w:bCs w:val="0"/>
          <w:sz w:val="32"/>
          <w:szCs w:val="32"/>
        </w:rPr>
      </w:pPr>
      <w:r>
        <w:rPr>
          <w:rFonts w:hint="eastAsia" w:ascii="仿宋" w:hAnsi="仿宋" w:eastAsia="仿宋"/>
          <w:b w:val="0"/>
          <w:bCs w:val="0"/>
          <w:sz w:val="32"/>
          <w:szCs w:val="32"/>
          <w:lang w:eastAsia="zh-CN"/>
        </w:rPr>
        <w:t>（一）</w:t>
      </w:r>
      <w:r>
        <w:rPr>
          <w:rFonts w:hint="eastAsia" w:ascii="仿宋" w:hAnsi="仿宋" w:eastAsia="仿宋"/>
          <w:b w:val="0"/>
          <w:bCs w:val="0"/>
          <w:sz w:val="32"/>
          <w:szCs w:val="32"/>
        </w:rPr>
        <w:t>狠抓医疗核心指标，持续提质增效</w:t>
      </w:r>
    </w:p>
    <w:p w14:paraId="63D5FEEC">
      <w:pPr>
        <w:spacing w:line="580" w:lineRule="exact"/>
        <w:ind w:firstLine="640" w:firstLineChars="200"/>
        <w:rPr>
          <w:rFonts w:hint="eastAsia" w:ascii="仿宋" w:hAnsi="仿宋" w:eastAsia="仿宋"/>
          <w:b w:val="0"/>
          <w:bCs w:val="0"/>
          <w:sz w:val="32"/>
          <w:szCs w:val="32"/>
        </w:rPr>
      </w:pPr>
      <w:r>
        <w:rPr>
          <w:rFonts w:hint="eastAsia" w:ascii="仿宋" w:hAnsi="仿宋" w:eastAsia="仿宋"/>
          <w:b w:val="0"/>
          <w:bCs w:val="0"/>
          <w:sz w:val="32"/>
          <w:szCs w:val="32"/>
        </w:rPr>
        <w:t>门诊：门诊诊疗总人次为 1108201 次，同比增长 12.08%。其中普通门诊为 410451 人次，急诊为 169781 人次，专家专科为527969 人次。预约挂号为 635924 人次，同比增长 16.47%。急诊急救：院前急救（7256 人次）同比增加 0.25%（18 人次），院前出车次数（7849 人次）同比减少 27.11%（2920 人次）；急诊入观人次（42612 人次）同比增长 19.49%（6949 人次）；儿科观察人次为 82445 人次，同比增长 50.31%（27594 人次）；中心 ICU 人次 1215 人次，同比减少 4.41%（56 人次）。血液透析人次为 39915 人次，同比增加 8.42%（3101 人次）。住院部分：出院 63139 人次，同比增长 13.09%；病床使用率为 102.74%，同比增长 14.79%；平均住院日为 8.96 天，同比降低 0.25 天。</w:t>
      </w:r>
    </w:p>
    <w:p w14:paraId="0D27C60E">
      <w:pPr>
        <w:spacing w:line="580" w:lineRule="exact"/>
        <w:ind w:firstLine="640" w:firstLineChars="200"/>
        <w:rPr>
          <w:rFonts w:hint="eastAsia" w:ascii="仿宋" w:hAnsi="仿宋" w:eastAsia="仿宋"/>
          <w:b w:val="0"/>
          <w:bCs w:val="0"/>
          <w:sz w:val="32"/>
          <w:szCs w:val="32"/>
        </w:rPr>
      </w:pPr>
      <w:r>
        <w:rPr>
          <w:rFonts w:hint="eastAsia" w:ascii="仿宋" w:hAnsi="仿宋" w:eastAsia="仿宋"/>
          <w:b w:val="0"/>
          <w:bCs w:val="0"/>
          <w:sz w:val="32"/>
          <w:szCs w:val="32"/>
        </w:rPr>
        <w:t>手术部分：成手术 21267 例次，同比增长 17.25%。四级手术、微创手术、介入均有显著提高。四级手术 4310 台次，同比增长 20.50%；微创手术 4359 台，同比增长 34.61%。</w:t>
      </w:r>
    </w:p>
    <w:p w14:paraId="2E0A9A0F">
      <w:pPr>
        <w:spacing w:line="580" w:lineRule="exact"/>
        <w:ind w:firstLine="640" w:firstLineChars="200"/>
        <w:rPr>
          <w:rFonts w:hint="eastAsia" w:ascii="仿宋" w:hAnsi="仿宋" w:eastAsia="仿宋"/>
          <w:b w:val="0"/>
          <w:bCs w:val="0"/>
          <w:sz w:val="32"/>
          <w:szCs w:val="32"/>
          <w:lang w:eastAsia="zh-CN"/>
        </w:rPr>
      </w:pPr>
      <w:r>
        <w:rPr>
          <w:rFonts w:hint="eastAsia" w:ascii="仿宋" w:hAnsi="仿宋" w:eastAsia="仿宋"/>
          <w:b w:val="0"/>
          <w:bCs w:val="0"/>
          <w:sz w:val="32"/>
          <w:szCs w:val="32"/>
          <w:lang w:eastAsia="zh-CN"/>
        </w:rPr>
        <w:t>（二）强化业务内核动力，充分释放发展动能</w:t>
      </w:r>
    </w:p>
    <w:p w14:paraId="473CA881">
      <w:pPr>
        <w:spacing w:line="580" w:lineRule="exact"/>
        <w:ind w:firstLine="640" w:firstLineChars="200"/>
        <w:rPr>
          <w:rFonts w:hint="eastAsia" w:ascii="仿宋" w:hAnsi="仿宋" w:eastAsia="仿宋"/>
          <w:b w:val="0"/>
          <w:bCs w:val="0"/>
          <w:sz w:val="32"/>
          <w:szCs w:val="32"/>
        </w:rPr>
      </w:pPr>
      <w:r>
        <w:rPr>
          <w:rFonts w:hint="eastAsia" w:ascii="仿宋" w:hAnsi="仿宋" w:eastAsia="仿宋"/>
          <w:b w:val="0"/>
          <w:bCs w:val="0"/>
          <w:sz w:val="32"/>
          <w:szCs w:val="32"/>
          <w:lang w:eastAsia="zh-CN"/>
        </w:rPr>
        <w:t>开展新技术新业务，提高医院核心竞争力。有效开展新技术、新项目共计 39 项。部分新技术达省内、国内领先水平。</w:t>
      </w:r>
    </w:p>
    <w:p w14:paraId="54C9CD31">
      <w:pPr>
        <w:pStyle w:val="2"/>
        <w:ind w:firstLine="640" w:firstLineChars="200"/>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持续推进医疗中心建设，提升危急重症综合救治能力。</w:t>
      </w:r>
    </w:p>
    <w:p w14:paraId="745344A2">
      <w:pPr>
        <w:pStyle w:val="2"/>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五大中心建设持续提质增效，救治能力持续攀升。胸痛中心全年完成 1858 例胸痛病人的诊治，同比增加 128例，增长率 7.06%。卒中中心收治患者 619 例，同比增加 384 例，增长率 163.4%，并成为第一批四川省急性脑梗死再灌注治疗医疗质量控制联盟单位。危重新生儿救治中心收治患儿中、早产儿占比大幅度增加为 41.41%，成功救治最小胎龄为 27.3 周，最小产重 910 克。危重孕产妇救治中心住院患者中危重孕产妇比重高达 69.68%，创伤中心共接诊创伤患者 3200 例，同比增加 400 余例，同比增长 14.28 %，收治入院的共 1600 余例，同比增加 700例，增长率 77.78 %。</w:t>
      </w:r>
    </w:p>
    <w:p w14:paraId="66BB270A">
      <w:pPr>
        <w:pStyle w:val="2"/>
        <w:ind w:firstLine="640" w:firstLineChars="200"/>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紧抓医疗质量，严抓医疗安全。加强病历质控和病案首页管理；严格落实医疗质量安全核心制度；医疗质量安全不良事件管理；组织开展多学科协作诊疗全院大会诊 139 次，为患者申请远程会诊 4 人次，请院外专家会诊 90 人次，安排外院请我院专家会诊 52 人次。与四川大学华西医院/华西第二医院签网络联盟医院合作协议。</w:t>
      </w:r>
    </w:p>
    <w:p w14:paraId="4E85B69F">
      <w:pPr>
        <w:pStyle w:val="2"/>
        <w:ind w:firstLine="640" w:firstLineChars="200"/>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提升区域医疗水平，坚持医院“公益性”。接收省医院和省肿瘤医院对口支援“传帮带”下派的 8 名专家，专业涵盖骨外科、心血管超声、临床病理、老年心血管、放疗、胸外科。积极落实对口支援。积极拓展医疗联合。积极实施公益行动。积极开展便民举措。做好质量控制工作。</w:t>
      </w:r>
    </w:p>
    <w:p w14:paraId="245BFF46">
      <w:pPr>
        <w:pStyle w:val="2"/>
        <w:ind w:firstLine="640" w:firstLineChars="200"/>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（三）落实优质护理服务，强化护理学科建设</w:t>
      </w:r>
    </w:p>
    <w:p w14:paraId="586EE6D6">
      <w:pPr>
        <w:pStyle w:val="2"/>
        <w:ind w:firstLine="640" w:firstLineChars="200"/>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执行三级护理管理体系，持续改进护理质量。深化优质护理服务内涵，强化责任制整体护理。发展护理队伍，加强业务学习。</w:t>
      </w:r>
    </w:p>
    <w:p w14:paraId="4B207069">
      <w:pPr>
        <w:pStyle w:val="2"/>
        <w:ind w:firstLine="640" w:firstLineChars="200"/>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（四）加强教学科研建设，助推医院高质量发展</w:t>
      </w:r>
    </w:p>
    <w:p w14:paraId="5302D17E">
      <w:pPr>
        <w:pStyle w:val="2"/>
        <w:ind w:firstLine="640" w:firstLineChars="200"/>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科研方面。全年申报省级科研课题 24 项、州级科研 41项。省级科研课题立项 6 项，州科技局课题立项 17 项，州人社局课题立项 6 项。与浙江大学附属儿童医院、四川大学华西医院等合作科研项目 9 项。13 项州科技局科研项目顺利结题，结题率 100%。医院荣获 2023 年度四川省医学科技奖（应用研究类）三等奖 1 项。荣获国家专利授权 32 项，包括发明专利 1 项。论文产出 116 篇，其中 SCI8 篇、中文核心期刊 10 篇、普通期刊84 篇、科普类文章 14 篇。专著出版 12 部，其中医院职工担任主编 1 部、副主编 11 部。5 篇论文荣获凉山州第十一届自然科学优秀学术论文奖励，其中一等奖 1 项、二等奖 2 项、三等奖 2项。外送 30 余名科研骨干参加临床研究培训，首次开展科学性审查工作，与牵头机构签订临床研究协议，临床研究规范化试点工作取得初步成效。</w:t>
      </w:r>
    </w:p>
    <w:p w14:paraId="6A7540E5">
      <w:pPr>
        <w:pStyle w:val="2"/>
        <w:ind w:firstLine="640" w:firstLineChars="200"/>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专科建设方面。医院新增心血管内科为省级临床重点专科，骨外科、呼吸与危重症医学科等 11 个专科立项凉山州临床重点专科建设项目，骨科、耳鼻喉科等 11 个科室顺利通过州级重点专科动态验收评审，血液科、口腔科等 3 个专科立项州级重点专科。在各重点专科中，小儿外科为攀西地区唯一的独立的小儿外科专科，血液科为州内首家立项重点专科的血液专科，儿科开创了同时具备省级临床重点专科、省甲级医学重点专科及州级重点学科三个专科建设项目的历史，为州内独有、省内少有。医院对各级临床重点专业建设给予了全力支持，在设备采购、人才培养、技术引进等方面给予政策和资源的倾斜。其中，给予省级临床重点专科配套经费 300 万元，州级临床重点专科配套经费71 万—470 万元不等。</w:t>
      </w:r>
    </w:p>
    <w:p w14:paraId="3B870077">
      <w:pPr>
        <w:pStyle w:val="2"/>
        <w:ind w:firstLine="640" w:firstLineChars="200"/>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（五）健全监管机制，建设平安医院</w:t>
      </w:r>
    </w:p>
    <w:p w14:paraId="4D2E68E0">
      <w:pPr>
        <w:pStyle w:val="2"/>
        <w:ind w:firstLine="640" w:firstLineChars="200"/>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医疗安全方面。通过狠抓医疗核心制度落实、规范医疗行为以及改善医疗服务、提升工作人员责任心等系列措施，医疗质量安全得到了较好提高。</w:t>
      </w:r>
    </w:p>
    <w:p w14:paraId="6BDE34B7">
      <w:pPr>
        <w:pStyle w:val="2"/>
        <w:ind w:firstLine="640" w:firstLineChars="200"/>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（六）推动互联网医院建设，提供就医新体验</w:t>
      </w:r>
    </w:p>
    <w:p w14:paraId="696AB90E">
      <w:pPr>
        <w:pStyle w:val="2"/>
        <w:ind w:firstLine="640" w:firstLineChars="200"/>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智慧医院信息化建设上线医保 DIP 系统、后勤管理系统、血透管理系统、肋骨骨折智能辅助系统等。</w:t>
      </w:r>
    </w:p>
    <w:p w14:paraId="62B6DB9B">
      <w:pPr>
        <w:pStyle w:val="2"/>
        <w:ind w:firstLine="640" w:firstLineChars="200"/>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完成医保电子凭证全流程应用、医保电子处方流转接口、四川药械集中采购平台三流合一接口项目。</w:t>
      </w:r>
    </w:p>
    <w:p w14:paraId="7E0DE40F">
      <w:pPr>
        <w:pStyle w:val="2"/>
        <w:ind w:firstLine="640" w:firstLineChars="200"/>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成功通过四川省智慧医院三星和互联互通标准化成熟度四级甲等、国家电子病历四级评审测评。</w:t>
      </w:r>
    </w:p>
    <w:p w14:paraId="7FF03243">
      <w:pPr>
        <w:pStyle w:val="2"/>
        <w:ind w:firstLine="640" w:firstLineChars="200"/>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开展“互联网+护理”服务，上线伤口造口护理、PICC管路维护、母婴护理、基础护理、脑卒中护理、儿童心理护理等9 个专业 50 个项的护理服务，全年接单 450 余次，为行动不便、慢性病以及母婴人群提供预约上门服务 1000 余人次，满意度达98%以上。</w:t>
      </w:r>
    </w:p>
    <w:p w14:paraId="20DF1F8A">
      <w:pPr>
        <w:pStyle w:val="2"/>
        <w:ind w:firstLine="640" w:firstLineChars="200"/>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上线互联网医院“纳里医生”，患者可在线复诊、在线续方、报告解读、图文咨询、电话咨询，提供在线复诊 4730人次、接受在线咨询 4730 人次、开具在线处方 487 张、配送药品 119 次。</w:t>
      </w:r>
    </w:p>
    <w:p w14:paraId="5B84E352">
      <w:pPr>
        <w:pStyle w:val="2"/>
        <w:ind w:firstLine="640" w:firstLineChars="200"/>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全面完成病案无纸化建设，以及医保结算资料无纸化归档管理，是凉山州第一家和唯一一家实行无纸化管理的医疗机构，开启州内智慧病案管理先河，病历脱纸率超过97%、病案归档成功率与病案完整率达到100%。医院“云病案”系统创新性实践获全省医务管理案例大赛“二等奖”。</w:t>
      </w:r>
    </w:p>
    <w:p w14:paraId="73266478">
      <w:pPr>
        <w:pStyle w:val="2"/>
        <w:ind w:firstLine="640" w:firstLineChars="200"/>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（七）推进基础建设，改善患者就医环境</w:t>
      </w:r>
    </w:p>
    <w:p w14:paraId="0E6E954D">
      <w:pPr>
        <w:pStyle w:val="2"/>
        <w:ind w:firstLine="640" w:firstLineChars="200"/>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新院区一期建设项目已完成勘查现场作业，施工用地打围、场平、临时用水用电建设以及施工图审查、工程量清单编制，招标前各项准备工作已完善。</w:t>
      </w:r>
    </w:p>
    <w:p w14:paraId="054DB1FB">
      <w:pPr>
        <w:pStyle w:val="2"/>
        <w:ind w:firstLine="640" w:firstLineChars="200"/>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危急重症综合救治中心（省级区域医疗中心）项目于2023 年 1 月开工建设，各项工作推进顺利。目前已完成四层混凝土浇筑，五层底板正在进行木工支模钢筋绑扎及四个核心筒型钢安装焊接。地下室外墙防水、防水保护墙及车道顶板正在施工。项目于 12 月已完成主体结构封顶。</w:t>
      </w:r>
    </w:p>
    <w:p w14:paraId="56915592">
      <w:pPr>
        <w:pStyle w:val="4"/>
        <w:ind w:firstLine="320" w:firstLineChars="100"/>
        <w:rPr>
          <w:rFonts w:hint="eastAsia" w:ascii="黑体" w:hAnsi="黑体" w:eastAsia="黑体"/>
          <w:b w:val="0"/>
          <w:lang w:eastAsia="zh-CN"/>
        </w:rPr>
      </w:pPr>
      <w:bookmarkStart w:id="20" w:name="_Toc24053"/>
      <w:bookmarkStart w:id="21" w:name="_Toc26790"/>
      <w:bookmarkStart w:id="22" w:name="_Toc10870"/>
      <w:r>
        <w:rPr>
          <w:rFonts w:hint="eastAsia" w:ascii="黑体" w:hAnsi="黑体" w:eastAsia="黑体"/>
          <w:b w:val="0"/>
        </w:rPr>
        <w:t>二、</w:t>
      </w:r>
      <w:bookmarkEnd w:id="20"/>
      <w:r>
        <w:rPr>
          <w:rFonts w:hint="eastAsia" w:ascii="黑体" w:hAnsi="黑体" w:eastAsia="黑体"/>
          <w:b w:val="0"/>
          <w:lang w:eastAsia="zh-CN"/>
        </w:rPr>
        <w:t>机构设置</w:t>
      </w:r>
      <w:bookmarkEnd w:id="21"/>
      <w:bookmarkEnd w:id="22"/>
    </w:p>
    <w:p w14:paraId="19347B07">
      <w:pPr>
        <w:pStyle w:val="2"/>
        <w:adjustRightInd w:val="0"/>
        <w:snapToGrid w:val="0"/>
        <w:spacing w:before="93" w:line="600" w:lineRule="exact"/>
        <w:ind w:firstLine="672" w:firstLineChars="210"/>
        <w:rPr>
          <w:rFonts w:hint="eastAsia" w:ascii="仿宋" w:hAnsi="仿宋" w:eastAsia="仿宋" w:cs="Times New Roman"/>
          <w:sz w:val="32"/>
          <w:szCs w:val="32"/>
        </w:rPr>
      </w:pPr>
      <w:r>
        <w:rPr>
          <w:rFonts w:hint="eastAsia" w:ascii="仿宋" w:hAnsi="仿宋" w:eastAsia="仿宋" w:cs="Times New Roman"/>
          <w:sz w:val="32"/>
          <w:szCs w:val="32"/>
          <w:lang w:eastAsia="zh-CN"/>
        </w:rPr>
        <w:t>凉山州第一人民医院</w:t>
      </w:r>
      <w:r>
        <w:rPr>
          <w:rFonts w:hint="eastAsia" w:ascii="仿宋" w:hAnsi="仿宋" w:eastAsia="仿宋" w:cs="Times New Roman"/>
          <w:sz w:val="32"/>
          <w:szCs w:val="32"/>
        </w:rPr>
        <w:t>下属单位</w:t>
      </w:r>
      <w:r>
        <w:rPr>
          <w:rFonts w:hint="eastAsia" w:ascii="仿宋" w:hAnsi="仿宋" w:eastAsia="仿宋" w:cs="Times New Roman"/>
          <w:sz w:val="32"/>
          <w:szCs w:val="32"/>
          <w:lang w:val="en-US" w:eastAsia="zh-CN"/>
        </w:rPr>
        <w:t>0</w:t>
      </w:r>
      <w:r>
        <w:rPr>
          <w:rFonts w:hint="eastAsia" w:ascii="仿宋" w:hAnsi="仿宋" w:eastAsia="仿宋" w:cs="Times New Roman"/>
          <w:sz w:val="32"/>
          <w:szCs w:val="32"/>
        </w:rPr>
        <w:t>个，其中行政单位</w:t>
      </w:r>
      <w:r>
        <w:rPr>
          <w:rFonts w:hint="eastAsia" w:ascii="仿宋" w:hAnsi="仿宋" w:eastAsia="仿宋" w:cs="Times New Roman"/>
          <w:sz w:val="32"/>
          <w:szCs w:val="32"/>
          <w:lang w:val="en-US" w:eastAsia="zh-CN"/>
        </w:rPr>
        <w:t>0</w:t>
      </w:r>
      <w:r>
        <w:rPr>
          <w:rFonts w:hint="eastAsia" w:ascii="仿宋" w:hAnsi="仿宋" w:eastAsia="仿宋" w:cs="Times New Roman"/>
          <w:sz w:val="32"/>
          <w:szCs w:val="32"/>
        </w:rPr>
        <w:t>个，参照公务员法管理的事业单位</w:t>
      </w:r>
      <w:r>
        <w:rPr>
          <w:rFonts w:hint="eastAsia" w:ascii="仿宋" w:hAnsi="仿宋" w:eastAsia="仿宋" w:cs="Times New Roman"/>
          <w:sz w:val="32"/>
          <w:szCs w:val="32"/>
          <w:lang w:val="en-US" w:eastAsia="zh-CN"/>
        </w:rPr>
        <w:t>0</w:t>
      </w:r>
      <w:r>
        <w:rPr>
          <w:rFonts w:hint="eastAsia" w:ascii="仿宋" w:hAnsi="仿宋" w:eastAsia="仿宋" w:cs="Times New Roman"/>
          <w:sz w:val="32"/>
          <w:szCs w:val="32"/>
        </w:rPr>
        <w:t>个，其他事业单位</w:t>
      </w:r>
      <w:r>
        <w:rPr>
          <w:rFonts w:hint="eastAsia" w:ascii="仿宋" w:hAnsi="仿宋" w:eastAsia="仿宋" w:cs="Times New Roman"/>
          <w:sz w:val="32"/>
          <w:szCs w:val="32"/>
          <w:lang w:val="en-US" w:eastAsia="zh-CN"/>
        </w:rPr>
        <w:t>0</w:t>
      </w:r>
      <w:r>
        <w:rPr>
          <w:rFonts w:hint="eastAsia" w:ascii="仿宋" w:hAnsi="仿宋" w:eastAsia="仿宋" w:cs="Times New Roman"/>
          <w:sz w:val="32"/>
          <w:szCs w:val="32"/>
        </w:rPr>
        <w:t>个。</w:t>
      </w:r>
    </w:p>
    <w:bookmarkEnd w:id="18"/>
    <w:bookmarkEnd w:id="19"/>
    <w:p w14:paraId="35C08CB6">
      <w:pPr>
        <w:widowControl/>
        <w:jc w:val="left"/>
        <w:rPr>
          <w:rFonts w:ascii="仿宋" w:hAnsi="仿宋" w:eastAsia="仿宋"/>
          <w:kern w:val="0"/>
          <w:sz w:val="32"/>
          <w:szCs w:val="32"/>
        </w:rPr>
      </w:pPr>
      <w:r>
        <w:rPr>
          <w:rFonts w:ascii="仿宋" w:hAnsi="仿宋" w:eastAsia="仿宋"/>
          <w:sz w:val="32"/>
          <w:szCs w:val="32"/>
        </w:rPr>
        <w:br w:type="page"/>
      </w:r>
    </w:p>
    <w:p w14:paraId="2414AF2E">
      <w:pPr>
        <w:pStyle w:val="3"/>
        <w:ind w:right="440"/>
        <w:jc w:val="center"/>
        <w:rPr>
          <w:rStyle w:val="28"/>
          <w:rFonts w:ascii="黑体" w:hAnsi="黑体" w:eastAsia="黑体"/>
          <w:b w:val="0"/>
          <w:bCs/>
        </w:rPr>
      </w:pPr>
      <w:bookmarkStart w:id="23" w:name="_Toc15377204"/>
      <w:bookmarkStart w:id="24" w:name="_Toc15396602"/>
      <w:bookmarkStart w:id="25" w:name="_Toc20871"/>
      <w:r>
        <w:rPr>
          <w:rFonts w:hint="eastAsia" w:ascii="黑体" w:hAnsi="黑体" w:eastAsia="黑体"/>
          <w:b w:val="0"/>
        </w:rPr>
        <w:t>第二部分 2023年度</w:t>
      </w:r>
      <w:r>
        <w:rPr>
          <w:rStyle w:val="28"/>
          <w:rFonts w:hint="eastAsia" w:ascii="黑体" w:hAnsi="黑体" w:eastAsia="黑体"/>
          <w:b w:val="0"/>
          <w:bCs/>
        </w:rPr>
        <w:t>单位决算情况说明</w:t>
      </w:r>
      <w:bookmarkEnd w:id="23"/>
      <w:bookmarkEnd w:id="24"/>
      <w:bookmarkEnd w:id="25"/>
    </w:p>
    <w:p w14:paraId="31245DC5"/>
    <w:p w14:paraId="39F76242">
      <w:pPr>
        <w:pStyle w:val="27"/>
        <w:numPr>
          <w:ilvl w:val="0"/>
          <w:numId w:val="2"/>
        </w:numPr>
        <w:spacing w:line="600" w:lineRule="exact"/>
        <w:ind w:firstLineChars="0"/>
        <w:outlineLvl w:val="1"/>
        <w:rPr>
          <w:rStyle w:val="29"/>
          <w:rFonts w:ascii="黑体" w:hAnsi="黑体" w:eastAsia="黑体"/>
          <w:b w:val="0"/>
        </w:rPr>
      </w:pPr>
      <w:bookmarkStart w:id="26" w:name="_Toc15396603"/>
      <w:bookmarkStart w:id="27" w:name="_Toc15377205"/>
      <w:bookmarkStart w:id="28" w:name="_Toc19878"/>
      <w:r>
        <w:rPr>
          <w:rFonts w:hint="eastAsia" w:ascii="黑体" w:hAnsi="黑体" w:eastAsia="黑体"/>
          <w:sz w:val="32"/>
          <w:szCs w:val="32"/>
        </w:rPr>
        <w:t>收</w:t>
      </w:r>
      <w:r>
        <w:rPr>
          <w:rStyle w:val="29"/>
          <w:rFonts w:hint="eastAsia" w:ascii="黑体" w:hAnsi="黑体" w:eastAsia="黑体"/>
          <w:b w:val="0"/>
        </w:rPr>
        <w:t>入支出决算总体情况说明</w:t>
      </w:r>
      <w:bookmarkEnd w:id="26"/>
      <w:bookmarkEnd w:id="27"/>
      <w:bookmarkEnd w:id="28"/>
    </w:p>
    <w:p w14:paraId="24875BB7">
      <w:pPr>
        <w:spacing w:line="600" w:lineRule="exact"/>
        <w:ind w:firstLine="640" w:firstLineChars="200"/>
        <w:rPr>
          <w:rFonts w:hint="eastAsia"/>
        </w:rPr>
      </w:pPr>
      <w:r>
        <w:rPr>
          <w:rFonts w:hint="eastAsia" w:ascii="仿宋" w:hAnsi="仿宋" w:eastAsia="仿宋"/>
          <w:sz w:val="32"/>
          <w:szCs w:val="32"/>
        </w:rPr>
        <w:t>2023年度收、支总计均为</w:t>
      </w:r>
      <w:r>
        <w:rPr>
          <w:rFonts w:hint="eastAsia" w:ascii="仿宋" w:hAnsi="仿宋" w:eastAsia="仿宋"/>
          <w:b/>
          <w:sz w:val="32"/>
          <w:szCs w:val="32"/>
        </w:rPr>
        <w:t>136156.89</w:t>
      </w:r>
      <w:r>
        <w:rPr>
          <w:rFonts w:hint="eastAsia" w:ascii="仿宋" w:hAnsi="仿宋" w:eastAsia="仿宋"/>
          <w:sz w:val="32"/>
          <w:szCs w:val="32"/>
        </w:rPr>
        <w:t>万元。与2022年度相比，收、支总计各增加</w:t>
      </w:r>
      <w:r>
        <w:rPr>
          <w:rFonts w:hint="eastAsia" w:ascii="仿宋" w:hAnsi="仿宋" w:eastAsia="仿宋"/>
          <w:b/>
          <w:sz w:val="32"/>
          <w:szCs w:val="32"/>
          <w:lang w:val="en-US" w:eastAsia="zh-CN"/>
        </w:rPr>
        <w:t>15909.67</w:t>
      </w:r>
      <w:r>
        <w:rPr>
          <w:rFonts w:hint="eastAsia" w:ascii="仿宋" w:hAnsi="仿宋" w:eastAsia="仿宋"/>
          <w:sz w:val="32"/>
          <w:szCs w:val="32"/>
        </w:rPr>
        <w:t>万元，增长</w:t>
      </w:r>
      <w:r>
        <w:rPr>
          <w:rFonts w:hint="eastAsia" w:ascii="仿宋" w:hAnsi="仿宋" w:eastAsia="仿宋"/>
          <w:b/>
          <w:sz w:val="32"/>
          <w:szCs w:val="32"/>
          <w:lang w:val="en-US" w:eastAsia="zh-CN"/>
        </w:rPr>
        <w:t>13.23</w:t>
      </w:r>
      <w:r>
        <w:rPr>
          <w:rFonts w:hint="eastAsia" w:ascii="仿宋" w:hAnsi="仿宋" w:eastAsia="仿宋"/>
          <w:b/>
          <w:sz w:val="32"/>
          <w:szCs w:val="32"/>
        </w:rPr>
        <w:t>%</w:t>
      </w:r>
      <w:r>
        <w:rPr>
          <w:rFonts w:hint="eastAsia" w:ascii="仿宋" w:hAnsi="仿宋" w:eastAsia="仿宋"/>
          <w:sz w:val="32"/>
          <w:szCs w:val="32"/>
        </w:rPr>
        <w:t>。主要变动原因是一般公共预算财政拨款</w:t>
      </w:r>
      <w:r>
        <w:rPr>
          <w:rFonts w:hint="eastAsia" w:ascii="仿宋" w:hAnsi="仿宋" w:eastAsia="仿宋"/>
          <w:sz w:val="32"/>
          <w:szCs w:val="32"/>
          <w:lang w:eastAsia="zh-CN"/>
        </w:rPr>
        <w:t>收支增加</w:t>
      </w:r>
      <w:r>
        <w:rPr>
          <w:rFonts w:hint="eastAsia" w:ascii="仿宋" w:hAnsi="仿宋" w:eastAsia="仿宋"/>
          <w:sz w:val="32"/>
          <w:szCs w:val="32"/>
        </w:rPr>
        <w:t>。</w:t>
      </w:r>
    </w:p>
    <w:p w14:paraId="4B7D4DE4">
      <w:pPr>
        <w:pStyle w:val="2"/>
        <w:jc w:val="center"/>
      </w:pPr>
      <w:r>
        <w:drawing>
          <wp:inline distT="0" distB="0" distL="114300" distR="114300">
            <wp:extent cx="4239895" cy="1998345"/>
            <wp:effectExtent l="5080" t="4445" r="22225" b="1651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6D1A727F">
      <w:pPr>
        <w:spacing w:line="600" w:lineRule="exact"/>
        <w:ind w:firstLine="640" w:firstLineChars="200"/>
        <w:jc w:val="center"/>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14:paraId="630B735D">
      <w:pPr>
        <w:spacing w:line="600" w:lineRule="exact"/>
        <w:ind w:firstLine="640" w:firstLineChars="200"/>
        <w:jc w:val="left"/>
        <w:rPr>
          <w:rFonts w:ascii="仿宋_GB2312" w:eastAsia="仿宋_GB2312"/>
          <w:sz w:val="32"/>
          <w:szCs w:val="32"/>
        </w:rPr>
      </w:pPr>
    </w:p>
    <w:p w14:paraId="0A7F26F5">
      <w:pPr>
        <w:pStyle w:val="27"/>
        <w:numPr>
          <w:ilvl w:val="0"/>
          <w:numId w:val="2"/>
        </w:numPr>
        <w:spacing w:line="600" w:lineRule="exact"/>
        <w:ind w:firstLineChars="0"/>
        <w:outlineLvl w:val="1"/>
        <w:rPr>
          <w:rStyle w:val="29"/>
          <w:rFonts w:ascii="黑体" w:hAnsi="黑体" w:eastAsia="黑体"/>
          <w:b w:val="0"/>
        </w:rPr>
      </w:pPr>
      <w:bookmarkStart w:id="29" w:name="_Toc15377206"/>
      <w:bookmarkStart w:id="30" w:name="_Toc15396604"/>
      <w:bookmarkStart w:id="31" w:name="_Toc2228"/>
      <w:r>
        <w:rPr>
          <w:rFonts w:hint="eastAsia" w:ascii="黑体" w:hAnsi="黑体" w:eastAsia="黑体"/>
          <w:sz w:val="32"/>
          <w:szCs w:val="32"/>
        </w:rPr>
        <w:t>收</w:t>
      </w:r>
      <w:r>
        <w:rPr>
          <w:rStyle w:val="29"/>
          <w:rFonts w:hint="eastAsia" w:ascii="黑体" w:hAnsi="黑体" w:eastAsia="黑体"/>
          <w:b w:val="0"/>
        </w:rPr>
        <w:t>入决算情况说明</w:t>
      </w:r>
      <w:bookmarkEnd w:id="29"/>
      <w:bookmarkEnd w:id="30"/>
      <w:bookmarkEnd w:id="31"/>
    </w:p>
    <w:p w14:paraId="729ACD29">
      <w:pPr>
        <w:spacing w:line="600" w:lineRule="exact"/>
        <w:ind w:firstLine="640" w:firstLineChars="200"/>
        <w:outlineLvl w:val="1"/>
        <w:rPr>
          <w:rFonts w:ascii="仿宋" w:hAnsi="仿宋" w:eastAsia="仿宋"/>
          <w:sz w:val="32"/>
          <w:szCs w:val="32"/>
        </w:rPr>
      </w:pPr>
      <w:bookmarkStart w:id="32" w:name="_Toc3638"/>
      <w:r>
        <w:rPr>
          <w:rFonts w:hint="eastAsia" w:ascii="仿宋" w:hAnsi="仿宋" w:eastAsia="仿宋"/>
          <w:sz w:val="32"/>
          <w:szCs w:val="32"/>
        </w:rPr>
        <w:t>2023年度本年收入合计</w:t>
      </w:r>
      <w:r>
        <w:rPr>
          <w:rFonts w:ascii="仿宋" w:hAnsi="仿宋" w:eastAsia="仿宋"/>
          <w:b/>
          <w:sz w:val="32"/>
          <w:szCs w:val="32"/>
        </w:rPr>
        <w:t>130597.72</w:t>
      </w:r>
      <w:r>
        <w:rPr>
          <w:rFonts w:hint="eastAsia" w:ascii="仿宋" w:hAnsi="仿宋" w:eastAsia="仿宋"/>
          <w:sz w:val="32"/>
          <w:szCs w:val="32"/>
        </w:rPr>
        <w:t>万元，其中：一般公共预算财政拨款收入</w:t>
      </w:r>
      <w:r>
        <w:rPr>
          <w:rFonts w:ascii="仿宋" w:hAnsi="仿宋" w:eastAsia="仿宋"/>
          <w:b/>
          <w:sz w:val="32"/>
          <w:szCs w:val="32"/>
        </w:rPr>
        <w:t>25298.86</w:t>
      </w:r>
      <w:r>
        <w:rPr>
          <w:rFonts w:hint="eastAsia" w:ascii="仿宋" w:hAnsi="仿宋" w:eastAsia="仿宋"/>
          <w:sz w:val="32"/>
          <w:szCs w:val="32"/>
        </w:rPr>
        <w:t>万元，占</w:t>
      </w:r>
      <w:r>
        <w:rPr>
          <w:rFonts w:ascii="仿宋" w:hAnsi="仿宋" w:eastAsia="仿宋"/>
          <w:b/>
          <w:sz w:val="32"/>
          <w:szCs w:val="32"/>
        </w:rPr>
        <w:t>19.37%</w:t>
      </w:r>
      <w:r>
        <w:rPr>
          <w:rFonts w:hint="eastAsia" w:ascii="仿宋" w:hAnsi="仿宋" w:eastAsia="仿宋"/>
          <w:sz w:val="32"/>
          <w:szCs w:val="32"/>
        </w:rPr>
        <w:t>；政府性基金预算财政拨款收入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；国有资本经营预算财政拨款收入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；上级补助收入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；事业收入</w:t>
      </w:r>
      <w:r>
        <w:rPr>
          <w:rFonts w:ascii="仿宋" w:hAnsi="仿宋" w:eastAsia="仿宋"/>
          <w:b/>
          <w:sz w:val="32"/>
          <w:szCs w:val="32"/>
        </w:rPr>
        <w:t>104045.08</w:t>
      </w:r>
      <w:r>
        <w:rPr>
          <w:rFonts w:hint="eastAsia" w:ascii="仿宋" w:hAnsi="仿宋" w:eastAsia="仿宋"/>
          <w:sz w:val="32"/>
          <w:szCs w:val="32"/>
        </w:rPr>
        <w:t>万元，占</w:t>
      </w:r>
      <w:r>
        <w:rPr>
          <w:rFonts w:ascii="仿宋" w:hAnsi="仿宋" w:eastAsia="仿宋"/>
          <w:b/>
          <w:sz w:val="32"/>
          <w:szCs w:val="32"/>
        </w:rPr>
        <w:t>79.66</w:t>
      </w:r>
      <w:r>
        <w:rPr>
          <w:rFonts w:ascii="仿宋" w:hAnsi="仿宋" w:eastAsia="仿宋"/>
          <w:sz w:val="32"/>
          <w:szCs w:val="32"/>
        </w:rPr>
        <w:t>%</w:t>
      </w:r>
      <w:r>
        <w:rPr>
          <w:rFonts w:hint="eastAsia" w:ascii="仿宋" w:hAnsi="仿宋" w:eastAsia="仿宋"/>
          <w:sz w:val="32"/>
          <w:szCs w:val="32"/>
        </w:rPr>
        <w:t>；经营收入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；附属单位上缴收入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；其他收入</w:t>
      </w:r>
      <w:r>
        <w:rPr>
          <w:rFonts w:ascii="仿宋" w:hAnsi="仿宋" w:eastAsia="仿宋"/>
          <w:b/>
          <w:sz w:val="32"/>
          <w:szCs w:val="32"/>
        </w:rPr>
        <w:t>1253.78</w:t>
      </w:r>
      <w:r>
        <w:rPr>
          <w:rFonts w:hint="eastAsia" w:ascii="仿宋" w:hAnsi="仿宋" w:eastAsia="仿宋"/>
          <w:sz w:val="32"/>
          <w:szCs w:val="32"/>
        </w:rPr>
        <w:t>万元，占</w:t>
      </w:r>
      <w:r>
        <w:rPr>
          <w:rFonts w:ascii="仿宋" w:hAnsi="仿宋" w:eastAsia="仿宋"/>
          <w:b/>
          <w:sz w:val="32"/>
          <w:szCs w:val="32"/>
        </w:rPr>
        <w:t>0.96</w:t>
      </w:r>
      <w:r>
        <w:rPr>
          <w:rFonts w:ascii="仿宋" w:hAnsi="仿宋" w:eastAsia="仿宋"/>
          <w:sz w:val="32"/>
          <w:szCs w:val="32"/>
        </w:rPr>
        <w:t>%</w:t>
      </w:r>
      <w:bookmarkEnd w:id="32"/>
    </w:p>
    <w:p w14:paraId="730709A4">
      <w:pPr>
        <w:spacing w:line="600" w:lineRule="exact"/>
        <w:ind w:firstLine="643" w:firstLineChars="200"/>
        <w:outlineLvl w:val="1"/>
        <w:rPr>
          <w:rFonts w:ascii="仿宋" w:hAnsi="仿宋" w:eastAsia="仿宋"/>
          <w:sz w:val="32"/>
          <w:szCs w:val="32"/>
        </w:rPr>
      </w:pPr>
      <w:bookmarkStart w:id="33" w:name="_Toc19169"/>
      <w:r>
        <w:rPr>
          <w:rFonts w:hint="eastAsia" w:ascii="仿宋" w:hAnsi="仿宋" w:eastAsia="仿宋"/>
          <w:b/>
          <w:sz w:val="32"/>
          <w:szCs w:val="32"/>
        </w:rPr>
        <w:t>（注：数据来源于财决</w:t>
      </w:r>
      <w:r>
        <w:rPr>
          <w:rFonts w:ascii="仿宋" w:hAnsi="仿宋" w:eastAsia="仿宋"/>
          <w:b/>
          <w:sz w:val="32"/>
          <w:szCs w:val="32"/>
        </w:rPr>
        <w:t>01表</w:t>
      </w:r>
      <w:r>
        <w:rPr>
          <w:rFonts w:hint="eastAsia" w:ascii="仿宋" w:hAnsi="仿宋" w:eastAsia="仿宋"/>
          <w:b/>
          <w:sz w:val="32"/>
          <w:szCs w:val="32"/>
        </w:rPr>
        <w:t>，仅罗列本单位涉及的收入。</w:t>
      </w:r>
      <w:r>
        <w:rPr>
          <w:rFonts w:ascii="仿宋" w:hAnsi="仿宋" w:eastAsia="仿宋"/>
          <w:b/>
          <w:sz w:val="32"/>
          <w:szCs w:val="32"/>
        </w:rPr>
        <w:t>）</w:t>
      </w:r>
      <w:bookmarkEnd w:id="33"/>
    </w:p>
    <w:p w14:paraId="0644799F">
      <w:pPr>
        <w:pStyle w:val="2"/>
        <w:jc w:val="center"/>
      </w:pPr>
      <w:r>
        <w:drawing>
          <wp:inline distT="0" distB="0" distL="114300" distR="114300">
            <wp:extent cx="4208145" cy="1895475"/>
            <wp:effectExtent l="4445" t="4445" r="16510" b="508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E7FA09D">
      <w:pPr>
        <w:spacing w:line="600" w:lineRule="exact"/>
        <w:ind w:firstLine="640" w:firstLineChars="200"/>
        <w:jc w:val="center"/>
        <w:rPr>
          <w:rFonts w:ascii="仿宋" w:hAnsi="仿宋" w:eastAsia="仿宋"/>
          <w:sz w:val="32"/>
          <w:szCs w:val="32"/>
        </w:rPr>
      </w:pPr>
      <w:r>
        <w:rPr>
          <w:rFonts w:hint="eastAsia" w:ascii="仿宋" w:hAnsi="仿宋" w:eastAsia="仿宋"/>
          <w:sz w:val="32"/>
          <w:szCs w:val="32"/>
        </w:rPr>
        <w:t>（图2：收入决算结构图）</w:t>
      </w:r>
    </w:p>
    <w:p w14:paraId="71A74D3D">
      <w:pPr>
        <w:spacing w:line="600" w:lineRule="exact"/>
        <w:ind w:firstLine="640" w:firstLineChars="200"/>
        <w:rPr>
          <w:rFonts w:ascii="仿宋_GB2312" w:eastAsia="仿宋_GB2312"/>
          <w:sz w:val="32"/>
          <w:szCs w:val="32"/>
        </w:rPr>
      </w:pPr>
    </w:p>
    <w:p w14:paraId="1870C08C">
      <w:pPr>
        <w:pStyle w:val="27"/>
        <w:numPr>
          <w:ilvl w:val="0"/>
          <w:numId w:val="2"/>
        </w:numPr>
        <w:spacing w:line="600" w:lineRule="exact"/>
        <w:ind w:firstLineChars="0"/>
        <w:outlineLvl w:val="1"/>
        <w:rPr>
          <w:rStyle w:val="29"/>
          <w:rFonts w:ascii="黑体" w:hAnsi="黑体" w:eastAsia="黑体"/>
          <w:b w:val="0"/>
        </w:rPr>
      </w:pPr>
      <w:bookmarkStart w:id="34" w:name="_Toc15377207"/>
      <w:bookmarkStart w:id="35" w:name="_Toc6589"/>
      <w:bookmarkStart w:id="36" w:name="_Toc15396605"/>
      <w:r>
        <w:rPr>
          <w:rFonts w:hint="eastAsia" w:ascii="黑体" w:hAnsi="黑体" w:eastAsia="黑体"/>
          <w:sz w:val="32"/>
          <w:szCs w:val="32"/>
        </w:rPr>
        <w:t>支</w:t>
      </w:r>
      <w:r>
        <w:rPr>
          <w:rStyle w:val="29"/>
          <w:rFonts w:hint="eastAsia" w:ascii="黑体" w:hAnsi="黑体" w:eastAsia="黑体"/>
          <w:b w:val="0"/>
        </w:rPr>
        <w:t>出决算情况说明</w:t>
      </w:r>
      <w:bookmarkEnd w:id="34"/>
      <w:bookmarkEnd w:id="35"/>
      <w:bookmarkEnd w:id="36"/>
    </w:p>
    <w:p w14:paraId="4D4A9DD1">
      <w:pPr>
        <w:spacing w:line="600" w:lineRule="exact"/>
        <w:ind w:firstLine="640" w:firstLineChars="200"/>
        <w:outlineLvl w:val="1"/>
        <w:rPr>
          <w:rFonts w:ascii="仿宋" w:hAnsi="仿宋" w:eastAsia="仿宋"/>
          <w:sz w:val="32"/>
          <w:szCs w:val="32"/>
        </w:rPr>
      </w:pPr>
      <w:bookmarkStart w:id="37" w:name="_Toc6463"/>
      <w:r>
        <w:rPr>
          <w:rFonts w:hint="eastAsia" w:ascii="仿宋" w:hAnsi="仿宋" w:eastAsia="仿宋"/>
          <w:sz w:val="32"/>
          <w:szCs w:val="32"/>
        </w:rPr>
        <w:t>2023年度本年支出合计</w:t>
      </w:r>
      <w:r>
        <w:rPr>
          <w:rFonts w:ascii="仿宋" w:hAnsi="仿宋" w:eastAsia="仿宋"/>
          <w:b/>
          <w:sz w:val="32"/>
          <w:szCs w:val="32"/>
        </w:rPr>
        <w:t>136156.89</w:t>
      </w:r>
      <w:r>
        <w:rPr>
          <w:rFonts w:hint="eastAsia" w:ascii="仿宋" w:hAnsi="仿宋" w:eastAsia="仿宋"/>
          <w:sz w:val="32"/>
          <w:szCs w:val="32"/>
        </w:rPr>
        <w:t>万元，其中：基本支出</w:t>
      </w:r>
      <w:r>
        <w:rPr>
          <w:rFonts w:ascii="仿宋" w:hAnsi="仿宋" w:eastAsia="仿宋"/>
          <w:b/>
          <w:sz w:val="32"/>
          <w:szCs w:val="32"/>
        </w:rPr>
        <w:t>112887.27</w:t>
      </w:r>
      <w:r>
        <w:rPr>
          <w:rFonts w:hint="eastAsia" w:ascii="仿宋" w:hAnsi="仿宋" w:eastAsia="仿宋"/>
          <w:sz w:val="32"/>
          <w:szCs w:val="32"/>
        </w:rPr>
        <w:t>万元，占</w:t>
      </w:r>
      <w:r>
        <w:rPr>
          <w:rFonts w:ascii="仿宋" w:hAnsi="仿宋" w:eastAsia="仿宋"/>
          <w:b/>
          <w:sz w:val="32"/>
          <w:szCs w:val="32"/>
        </w:rPr>
        <w:t>82.9</w:t>
      </w:r>
      <w:r>
        <w:rPr>
          <w:rFonts w:ascii="仿宋" w:hAnsi="仿宋" w:eastAsia="仿宋"/>
          <w:sz w:val="32"/>
          <w:szCs w:val="32"/>
        </w:rPr>
        <w:t>%</w:t>
      </w:r>
      <w:r>
        <w:rPr>
          <w:rFonts w:hint="eastAsia" w:ascii="仿宋" w:hAnsi="仿宋" w:eastAsia="仿宋"/>
          <w:sz w:val="32"/>
          <w:szCs w:val="32"/>
        </w:rPr>
        <w:t>；项目支出</w:t>
      </w:r>
      <w:r>
        <w:rPr>
          <w:rFonts w:ascii="仿宋" w:hAnsi="仿宋" w:eastAsia="仿宋"/>
          <w:b/>
          <w:sz w:val="32"/>
          <w:szCs w:val="32"/>
        </w:rPr>
        <w:t>23269.62</w:t>
      </w:r>
      <w:r>
        <w:rPr>
          <w:rFonts w:hint="eastAsia" w:ascii="仿宋" w:hAnsi="仿宋" w:eastAsia="仿宋"/>
          <w:sz w:val="32"/>
          <w:szCs w:val="32"/>
        </w:rPr>
        <w:t>万元，占</w:t>
      </w:r>
      <w:r>
        <w:rPr>
          <w:rFonts w:ascii="仿宋" w:hAnsi="仿宋" w:eastAsia="仿宋"/>
          <w:b/>
          <w:sz w:val="32"/>
          <w:szCs w:val="32"/>
        </w:rPr>
        <w:t>17.09</w:t>
      </w:r>
      <w:r>
        <w:rPr>
          <w:rFonts w:ascii="仿宋" w:hAnsi="仿宋" w:eastAsia="仿宋"/>
          <w:sz w:val="32"/>
          <w:szCs w:val="32"/>
        </w:rPr>
        <w:t>%</w:t>
      </w:r>
      <w:r>
        <w:rPr>
          <w:rFonts w:hint="eastAsia" w:ascii="仿宋" w:hAnsi="仿宋" w:eastAsia="仿宋"/>
          <w:sz w:val="32"/>
          <w:szCs w:val="32"/>
        </w:rPr>
        <w:t>；上缴上级支出</w:t>
      </w:r>
      <w:r>
        <w:rPr>
          <w:rFonts w:ascii="仿宋" w:hAnsi="仿宋" w:eastAsia="仿宋"/>
          <w:b/>
          <w:sz w:val="32"/>
          <w:szCs w:val="32"/>
        </w:rPr>
        <w:t>0</w:t>
      </w:r>
      <w:r>
        <w:rPr>
          <w:rFonts w:hint="eastAsia" w:ascii="仿宋" w:hAnsi="仿宋" w:eastAsia="仿宋"/>
          <w:sz w:val="32"/>
          <w:szCs w:val="32"/>
        </w:rPr>
        <w:t>万元，占</w:t>
      </w:r>
      <w:r>
        <w:rPr>
          <w:rFonts w:hint="eastAsia"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；经营支出</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；对附属单位补助支出</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w:t>
      </w:r>
      <w:bookmarkEnd w:id="37"/>
    </w:p>
    <w:p w14:paraId="6429C228">
      <w:pPr>
        <w:spacing w:line="600" w:lineRule="exact"/>
        <w:ind w:firstLine="643" w:firstLineChars="200"/>
        <w:outlineLvl w:val="1"/>
        <w:rPr>
          <w:rFonts w:ascii="仿宋" w:hAnsi="仿宋" w:eastAsia="仿宋"/>
          <w:sz w:val="32"/>
          <w:szCs w:val="32"/>
          <w:shd w:val="pct10" w:color="auto" w:fill="FFFFFF"/>
        </w:rPr>
      </w:pPr>
      <w:bookmarkStart w:id="38" w:name="_Toc9839"/>
      <w:r>
        <w:rPr>
          <w:rFonts w:hint="eastAsia" w:ascii="仿宋" w:hAnsi="仿宋" w:eastAsia="仿宋"/>
          <w:b/>
          <w:sz w:val="32"/>
          <w:szCs w:val="32"/>
        </w:rPr>
        <w:t>（注：数据来源于财决</w:t>
      </w:r>
      <w:r>
        <w:rPr>
          <w:rFonts w:ascii="仿宋" w:hAnsi="仿宋" w:eastAsia="仿宋"/>
          <w:b/>
          <w:sz w:val="32"/>
          <w:szCs w:val="32"/>
        </w:rPr>
        <w:t>04</w:t>
      </w:r>
      <w:r>
        <w:rPr>
          <w:rFonts w:hint="eastAsia" w:ascii="仿宋" w:hAnsi="仿宋" w:eastAsia="仿宋"/>
          <w:b/>
          <w:sz w:val="32"/>
          <w:szCs w:val="32"/>
        </w:rPr>
        <w:t>表，仅罗列本单位涉及的支出。）</w:t>
      </w:r>
      <w:bookmarkEnd w:id="38"/>
    </w:p>
    <w:p w14:paraId="5410C7EA">
      <w:pPr>
        <w:pStyle w:val="2"/>
        <w:jc w:val="center"/>
        <w:rPr>
          <w:rFonts w:ascii="仿宋" w:hAnsi="仿宋" w:eastAsia="仿宋"/>
          <w:sz w:val="32"/>
          <w:szCs w:val="32"/>
          <w:shd w:val="pct10" w:color="auto" w:fill="FFFFFF"/>
        </w:rPr>
      </w:pPr>
      <w:r>
        <w:drawing>
          <wp:inline distT="0" distB="0" distL="114300" distR="114300">
            <wp:extent cx="4327525" cy="2083435"/>
            <wp:effectExtent l="4445" t="4445" r="11430" b="7620"/>
            <wp:docPr id="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ABBFA3E">
      <w:pPr>
        <w:spacing w:line="600" w:lineRule="exact"/>
        <w:ind w:firstLine="640" w:firstLineChars="200"/>
        <w:jc w:val="center"/>
        <w:rPr>
          <w:rFonts w:ascii="仿宋" w:hAnsi="仿宋" w:eastAsia="仿宋"/>
          <w:sz w:val="32"/>
          <w:szCs w:val="32"/>
        </w:rPr>
      </w:pPr>
      <w:r>
        <w:rPr>
          <w:rFonts w:hint="eastAsia" w:ascii="仿宋" w:hAnsi="仿宋" w:eastAsia="仿宋"/>
          <w:sz w:val="32"/>
          <w:szCs w:val="32"/>
        </w:rPr>
        <w:t>（图3：支出决算结构图）</w:t>
      </w:r>
    </w:p>
    <w:p w14:paraId="0E57FF89">
      <w:pPr>
        <w:spacing w:line="600" w:lineRule="exact"/>
        <w:ind w:firstLine="640" w:firstLineChars="200"/>
        <w:rPr>
          <w:rFonts w:ascii="仿宋_GB2312" w:eastAsia="仿宋_GB2312"/>
          <w:sz w:val="32"/>
          <w:szCs w:val="32"/>
        </w:rPr>
      </w:pPr>
    </w:p>
    <w:p w14:paraId="1B33A78B">
      <w:pPr>
        <w:spacing w:line="600" w:lineRule="exact"/>
        <w:ind w:firstLine="640" w:firstLineChars="200"/>
        <w:outlineLvl w:val="1"/>
        <w:rPr>
          <w:rStyle w:val="29"/>
          <w:rFonts w:ascii="黑体" w:hAnsi="黑体" w:eastAsia="黑体"/>
          <w:b w:val="0"/>
        </w:rPr>
      </w:pPr>
      <w:bookmarkStart w:id="39" w:name="_Toc15396606"/>
      <w:bookmarkStart w:id="40" w:name="_Toc11243"/>
      <w:bookmarkStart w:id="41" w:name="_Toc15377208"/>
      <w:r>
        <w:rPr>
          <w:rFonts w:hint="eastAsia" w:ascii="黑体" w:hAnsi="黑体" w:eastAsia="黑体"/>
          <w:sz w:val="32"/>
          <w:szCs w:val="32"/>
        </w:rPr>
        <w:t>四、财</w:t>
      </w:r>
      <w:r>
        <w:rPr>
          <w:rStyle w:val="29"/>
          <w:rFonts w:hint="eastAsia" w:ascii="黑体" w:hAnsi="黑体" w:eastAsia="黑体"/>
          <w:b w:val="0"/>
        </w:rPr>
        <w:t>政拨款收入支出决算总体情况说明</w:t>
      </w:r>
      <w:bookmarkEnd w:id="39"/>
      <w:bookmarkEnd w:id="40"/>
      <w:bookmarkEnd w:id="41"/>
    </w:p>
    <w:p w14:paraId="21231E16">
      <w:pPr>
        <w:spacing w:line="600" w:lineRule="exact"/>
        <w:ind w:firstLine="640"/>
        <w:rPr>
          <w:rFonts w:hint="eastAsia" w:ascii="仿宋" w:hAnsi="仿宋" w:eastAsia="仿宋"/>
          <w:sz w:val="32"/>
          <w:szCs w:val="32"/>
          <w:lang w:val="en-US" w:eastAsia="zh-CN"/>
        </w:rPr>
      </w:pPr>
      <w:r>
        <w:rPr>
          <w:rFonts w:hint="eastAsia" w:ascii="仿宋" w:hAnsi="仿宋" w:eastAsia="仿宋"/>
          <w:sz w:val="32"/>
          <w:szCs w:val="32"/>
        </w:rPr>
        <w:t>2023年度财政拨款收、支总计均为</w:t>
      </w:r>
      <w:r>
        <w:rPr>
          <w:rFonts w:ascii="仿宋" w:hAnsi="仿宋" w:eastAsia="仿宋"/>
          <w:b/>
          <w:sz w:val="32"/>
          <w:szCs w:val="32"/>
        </w:rPr>
        <w:t>25298.86</w:t>
      </w:r>
      <w:r>
        <w:rPr>
          <w:rFonts w:hint="eastAsia" w:ascii="仿宋" w:hAnsi="仿宋" w:eastAsia="仿宋"/>
          <w:sz w:val="32"/>
          <w:szCs w:val="32"/>
        </w:rPr>
        <w:t>万元。与2022年度相比，财政拨款收、支总计各增加</w:t>
      </w:r>
      <w:r>
        <w:rPr>
          <w:rFonts w:hint="eastAsia" w:ascii="仿宋" w:hAnsi="仿宋" w:eastAsia="仿宋"/>
          <w:b/>
          <w:sz w:val="32"/>
          <w:szCs w:val="32"/>
          <w:lang w:val="en-US" w:eastAsia="zh-CN"/>
        </w:rPr>
        <w:t>15573.34</w:t>
      </w:r>
      <w:r>
        <w:rPr>
          <w:rFonts w:hint="eastAsia" w:ascii="仿宋" w:hAnsi="仿宋" w:eastAsia="仿宋"/>
          <w:sz w:val="32"/>
          <w:szCs w:val="32"/>
        </w:rPr>
        <w:t>万元，增长</w:t>
      </w:r>
      <w:r>
        <w:rPr>
          <w:rFonts w:hint="eastAsia" w:ascii="仿宋" w:hAnsi="仿宋" w:eastAsia="仿宋"/>
          <w:b/>
          <w:sz w:val="32"/>
          <w:szCs w:val="32"/>
          <w:lang w:val="en-US" w:eastAsia="zh-CN"/>
        </w:rPr>
        <w:t>160.13</w:t>
      </w:r>
      <w:r>
        <w:rPr>
          <w:rFonts w:hint="eastAsia" w:ascii="仿宋" w:hAnsi="仿宋" w:eastAsia="仿宋"/>
          <w:b/>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增加2023年优质高效医疗卫生服务体系建设工程（第二批）中央基建投资预算收支。</w:t>
      </w:r>
    </w:p>
    <w:p w14:paraId="420C4CC4">
      <w:pPr>
        <w:spacing w:line="600" w:lineRule="exact"/>
        <w:ind w:firstLine="640"/>
        <w:rPr>
          <w:rFonts w:ascii="仿宋" w:hAnsi="仿宋" w:eastAsia="仿宋"/>
          <w:sz w:val="32"/>
          <w:szCs w:val="32"/>
        </w:rPr>
      </w:pPr>
      <w:r>
        <w:rPr>
          <w:rFonts w:hint="eastAsia" w:ascii="仿宋" w:hAnsi="仿宋" w:eastAsia="仿宋"/>
          <w:b/>
          <w:sz w:val="32"/>
          <w:szCs w:val="32"/>
        </w:rPr>
        <w:t>（注：数据来源于财决</w:t>
      </w:r>
      <w:r>
        <w:rPr>
          <w:rFonts w:ascii="仿宋" w:hAnsi="仿宋" w:eastAsia="仿宋"/>
          <w:b/>
          <w:sz w:val="32"/>
          <w:szCs w:val="32"/>
        </w:rPr>
        <w:t>01-1</w:t>
      </w:r>
      <w:r>
        <w:rPr>
          <w:rFonts w:hint="eastAsia" w:ascii="仿宋" w:hAnsi="仿宋" w:eastAsia="仿宋"/>
          <w:b/>
          <w:sz w:val="32"/>
          <w:szCs w:val="32"/>
        </w:rPr>
        <w:t>表</w:t>
      </w:r>
      <w:r>
        <w:rPr>
          <w:rFonts w:ascii="仿宋" w:hAnsi="仿宋" w:eastAsia="仿宋"/>
          <w:b/>
          <w:sz w:val="32"/>
          <w:szCs w:val="32"/>
        </w:rPr>
        <w:t>）</w:t>
      </w:r>
    </w:p>
    <w:p w14:paraId="0D09CD9A">
      <w:pPr>
        <w:pStyle w:val="2"/>
        <w:jc w:val="center"/>
      </w:pPr>
      <w:r>
        <w:drawing>
          <wp:inline distT="0" distB="0" distL="114300" distR="114300">
            <wp:extent cx="4454525" cy="2466340"/>
            <wp:effectExtent l="4445" t="4445" r="17780" b="5715"/>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5E0B277">
      <w:pPr>
        <w:spacing w:line="600" w:lineRule="exact"/>
        <w:ind w:firstLine="640" w:firstLineChars="200"/>
        <w:jc w:val="center"/>
        <w:rPr>
          <w:rFonts w:ascii="仿宋" w:hAnsi="仿宋" w:eastAsia="仿宋"/>
          <w:sz w:val="32"/>
          <w:szCs w:val="32"/>
        </w:rPr>
      </w:pPr>
      <w:r>
        <w:rPr>
          <w:rFonts w:hint="eastAsia" w:ascii="仿宋" w:hAnsi="仿宋" w:eastAsia="仿宋"/>
          <w:sz w:val="32"/>
          <w:szCs w:val="32"/>
        </w:rPr>
        <w:t>（图4：财政拨款收、支决算总计变动情况）</w:t>
      </w:r>
    </w:p>
    <w:p w14:paraId="1BB991DE">
      <w:pPr>
        <w:spacing w:line="600" w:lineRule="exact"/>
        <w:ind w:firstLine="640"/>
        <w:rPr>
          <w:rFonts w:ascii="仿宋" w:hAnsi="仿宋" w:eastAsia="仿宋"/>
          <w:b/>
          <w:sz w:val="32"/>
          <w:szCs w:val="32"/>
        </w:rPr>
      </w:pPr>
    </w:p>
    <w:p w14:paraId="2258CA43">
      <w:pPr>
        <w:spacing w:line="600" w:lineRule="exact"/>
        <w:ind w:firstLine="640" w:firstLineChars="200"/>
        <w:outlineLvl w:val="1"/>
        <w:rPr>
          <w:rStyle w:val="29"/>
          <w:rFonts w:ascii="黑体" w:hAnsi="黑体" w:eastAsia="黑体"/>
          <w:b w:val="0"/>
        </w:rPr>
      </w:pPr>
      <w:bookmarkStart w:id="42" w:name="_Toc15377209"/>
      <w:bookmarkStart w:id="43" w:name="_Toc25535"/>
      <w:bookmarkStart w:id="44" w:name="_Toc15396607"/>
      <w:r>
        <w:rPr>
          <w:rFonts w:hint="eastAsia" w:ascii="黑体" w:hAnsi="黑体" w:eastAsia="黑体"/>
          <w:sz w:val="32"/>
          <w:szCs w:val="32"/>
        </w:rPr>
        <w:t>五、</w:t>
      </w:r>
      <w:r>
        <w:rPr>
          <w:rFonts w:hint="eastAsia" w:ascii="黑体" w:hAnsi="黑体" w:eastAsia="黑体"/>
          <w:b/>
          <w:sz w:val="32"/>
          <w:szCs w:val="32"/>
        </w:rPr>
        <w:t>一</w:t>
      </w:r>
      <w:r>
        <w:rPr>
          <w:rStyle w:val="29"/>
          <w:rFonts w:hint="eastAsia" w:ascii="黑体" w:hAnsi="黑体" w:eastAsia="黑体"/>
          <w:b w:val="0"/>
        </w:rPr>
        <w:t>般公共预算财政拨款支出决算情况说明</w:t>
      </w:r>
      <w:bookmarkEnd w:id="42"/>
      <w:bookmarkEnd w:id="43"/>
      <w:bookmarkEnd w:id="44"/>
    </w:p>
    <w:p w14:paraId="49B91129">
      <w:pPr>
        <w:spacing w:line="600" w:lineRule="exact"/>
        <w:ind w:firstLine="643" w:firstLineChars="200"/>
        <w:outlineLvl w:val="2"/>
        <w:rPr>
          <w:rFonts w:ascii="仿宋" w:hAnsi="仿宋" w:eastAsia="仿宋"/>
          <w:b/>
          <w:sz w:val="32"/>
          <w:szCs w:val="32"/>
        </w:rPr>
      </w:pPr>
      <w:bookmarkStart w:id="45" w:name="_Toc15377210"/>
      <w:r>
        <w:rPr>
          <w:rFonts w:hint="eastAsia" w:ascii="仿宋" w:hAnsi="仿宋" w:eastAsia="仿宋"/>
          <w:b/>
          <w:sz w:val="32"/>
          <w:szCs w:val="32"/>
        </w:rPr>
        <w:t>（一）一般公共预算财政拨款支出决算总体情况</w:t>
      </w:r>
      <w:bookmarkEnd w:id="45"/>
    </w:p>
    <w:p w14:paraId="6782072B">
      <w:pPr>
        <w:spacing w:line="600" w:lineRule="exact"/>
        <w:ind w:firstLine="640" w:firstLineChars="200"/>
        <w:rPr>
          <w:rFonts w:ascii="仿宋" w:hAnsi="仿宋" w:eastAsia="仿宋"/>
          <w:sz w:val="32"/>
          <w:szCs w:val="32"/>
        </w:rPr>
      </w:pPr>
      <w:r>
        <w:rPr>
          <w:rFonts w:hint="eastAsia" w:ascii="仿宋" w:hAnsi="仿宋" w:eastAsia="仿宋"/>
          <w:sz w:val="32"/>
          <w:szCs w:val="32"/>
        </w:rPr>
        <w:t>2023年度一般公共预算财政拨款支出</w:t>
      </w:r>
      <w:r>
        <w:rPr>
          <w:rFonts w:ascii="仿宋" w:hAnsi="仿宋" w:eastAsia="仿宋"/>
          <w:b/>
          <w:sz w:val="32"/>
          <w:szCs w:val="32"/>
        </w:rPr>
        <w:t>25298.86</w:t>
      </w:r>
      <w:r>
        <w:rPr>
          <w:rFonts w:hint="eastAsia" w:ascii="仿宋" w:hAnsi="仿宋" w:eastAsia="仿宋"/>
          <w:sz w:val="32"/>
          <w:szCs w:val="32"/>
        </w:rPr>
        <w:t>万元，占本年支出合计的</w:t>
      </w:r>
      <w:r>
        <w:rPr>
          <w:rFonts w:ascii="仿宋" w:hAnsi="仿宋" w:eastAsia="仿宋"/>
          <w:b/>
          <w:sz w:val="32"/>
          <w:szCs w:val="32"/>
        </w:rPr>
        <w:t>18.58</w:t>
      </w:r>
      <w:r>
        <w:rPr>
          <w:rFonts w:ascii="仿宋" w:hAnsi="仿宋" w:eastAsia="仿宋"/>
          <w:sz w:val="32"/>
          <w:szCs w:val="32"/>
        </w:rPr>
        <w:t>%</w:t>
      </w:r>
      <w:r>
        <w:rPr>
          <w:rFonts w:hint="eastAsia" w:ascii="仿宋" w:hAnsi="仿宋" w:eastAsia="仿宋"/>
          <w:sz w:val="32"/>
          <w:szCs w:val="32"/>
        </w:rPr>
        <w:t>。与2022年度相比，一般公共预算财政拨款支出增加</w:t>
      </w:r>
      <w:r>
        <w:rPr>
          <w:rFonts w:hint="eastAsia" w:ascii="仿宋" w:hAnsi="仿宋" w:eastAsia="仿宋"/>
          <w:b/>
          <w:sz w:val="32"/>
          <w:szCs w:val="32"/>
          <w:lang w:val="en-US" w:eastAsia="zh-CN"/>
        </w:rPr>
        <w:t>15573.34</w:t>
      </w:r>
      <w:r>
        <w:rPr>
          <w:rFonts w:hint="eastAsia" w:ascii="仿宋" w:hAnsi="仿宋" w:eastAsia="仿宋"/>
          <w:sz w:val="32"/>
          <w:szCs w:val="32"/>
        </w:rPr>
        <w:t>万元，增长</w:t>
      </w:r>
      <w:r>
        <w:rPr>
          <w:rFonts w:hint="eastAsia" w:ascii="仿宋" w:hAnsi="仿宋" w:eastAsia="仿宋"/>
          <w:b/>
          <w:sz w:val="32"/>
          <w:szCs w:val="32"/>
          <w:lang w:val="en-US" w:eastAsia="zh-CN"/>
        </w:rPr>
        <w:t>160.13</w:t>
      </w:r>
      <w:r>
        <w:rPr>
          <w:rFonts w:hint="eastAsia" w:ascii="仿宋" w:hAnsi="仿宋" w:eastAsia="仿宋"/>
          <w:b/>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2023年</w:t>
      </w:r>
      <w:r>
        <w:rPr>
          <w:rFonts w:hint="eastAsia" w:ascii="仿宋" w:hAnsi="仿宋" w:eastAsia="仿宋"/>
          <w:sz w:val="32"/>
          <w:szCs w:val="32"/>
          <w:lang w:eastAsia="zh-CN"/>
        </w:rPr>
        <w:t>增加了优质高效医疗卫生服务体系建设工程（第二批）中央基建投资预算支出。</w:t>
      </w:r>
    </w:p>
    <w:p w14:paraId="6B3B918C">
      <w:pPr>
        <w:spacing w:line="600" w:lineRule="exact"/>
        <w:ind w:firstLine="640" w:firstLineChars="200"/>
        <w:rPr>
          <w:rFonts w:ascii="仿宋" w:hAnsi="仿宋" w:eastAsia="仿宋"/>
          <w:sz w:val="32"/>
          <w:szCs w:val="32"/>
        </w:rPr>
      </w:pPr>
    </w:p>
    <w:p w14:paraId="69555C6A">
      <w:pPr>
        <w:pStyle w:val="2"/>
        <w:jc w:val="center"/>
        <w:rPr>
          <w:rFonts w:hint="eastAsia" w:ascii="仿宋" w:hAnsi="仿宋" w:eastAsia="仿宋"/>
          <w:sz w:val="32"/>
          <w:szCs w:val="32"/>
        </w:rPr>
      </w:pPr>
      <w:r>
        <w:drawing>
          <wp:inline distT="0" distB="0" distL="114300" distR="114300">
            <wp:extent cx="4225925" cy="2155825"/>
            <wp:effectExtent l="4445" t="4445" r="17780" b="11430"/>
            <wp:docPr id="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37A0C75">
      <w:pPr>
        <w:spacing w:line="600" w:lineRule="exact"/>
        <w:ind w:firstLine="640" w:firstLineChars="200"/>
        <w:jc w:val="center"/>
        <w:rPr>
          <w:rFonts w:ascii="仿宋" w:hAnsi="仿宋" w:eastAsia="仿宋"/>
          <w:sz w:val="32"/>
          <w:szCs w:val="32"/>
        </w:rPr>
      </w:pPr>
      <w:r>
        <w:rPr>
          <w:rFonts w:hint="eastAsia" w:ascii="仿宋" w:hAnsi="仿宋" w:eastAsia="仿宋"/>
          <w:sz w:val="32"/>
          <w:szCs w:val="32"/>
        </w:rPr>
        <w:t>（图5：一般公共预算财政拨款支出决算变动情况）</w:t>
      </w:r>
    </w:p>
    <w:p w14:paraId="3FBC3DCF">
      <w:pPr>
        <w:spacing w:line="600" w:lineRule="exact"/>
        <w:ind w:firstLine="640" w:firstLineChars="200"/>
        <w:rPr>
          <w:rFonts w:ascii="仿宋" w:hAnsi="仿宋" w:eastAsia="仿宋"/>
          <w:sz w:val="32"/>
          <w:szCs w:val="32"/>
        </w:rPr>
      </w:pPr>
    </w:p>
    <w:p w14:paraId="52F74956">
      <w:pPr>
        <w:spacing w:line="600" w:lineRule="exact"/>
        <w:ind w:firstLine="643" w:firstLineChars="200"/>
        <w:outlineLvl w:val="2"/>
        <w:rPr>
          <w:rFonts w:ascii="仿宋" w:hAnsi="仿宋" w:eastAsia="仿宋"/>
          <w:b/>
          <w:sz w:val="32"/>
          <w:szCs w:val="32"/>
        </w:rPr>
      </w:pPr>
      <w:bookmarkStart w:id="46" w:name="_Toc15377211"/>
      <w:r>
        <w:rPr>
          <w:rFonts w:hint="eastAsia" w:ascii="仿宋" w:hAnsi="仿宋" w:eastAsia="仿宋"/>
          <w:b/>
          <w:sz w:val="32"/>
          <w:szCs w:val="32"/>
        </w:rPr>
        <w:t>（二）一般公共预算财政拨款支出决算结构情况</w:t>
      </w:r>
      <w:bookmarkEnd w:id="46"/>
    </w:p>
    <w:p w14:paraId="5749A067">
      <w:pPr>
        <w:spacing w:line="600" w:lineRule="exact"/>
        <w:ind w:firstLine="640"/>
        <w:rPr>
          <w:rFonts w:ascii="仿宋" w:hAnsi="仿宋" w:eastAsia="仿宋"/>
          <w:b/>
          <w:sz w:val="32"/>
          <w:szCs w:val="32"/>
        </w:rPr>
      </w:pPr>
      <w:r>
        <w:rPr>
          <w:rFonts w:hint="eastAsia" w:ascii="仿宋" w:hAnsi="仿宋" w:eastAsia="仿宋"/>
          <w:sz w:val="32"/>
          <w:szCs w:val="32"/>
        </w:rPr>
        <w:t>2023年度一般公共预算财政拨款支出</w:t>
      </w:r>
      <w:r>
        <w:rPr>
          <w:rFonts w:ascii="仿宋" w:hAnsi="仿宋" w:eastAsia="仿宋"/>
          <w:b/>
          <w:sz w:val="32"/>
          <w:szCs w:val="32"/>
        </w:rPr>
        <w:t>25298.86</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b/>
          <w:sz w:val="32"/>
          <w:szCs w:val="32"/>
          <w:lang w:val="en-US" w:eastAsia="zh-CN"/>
        </w:rPr>
        <w:t>0</w:t>
      </w:r>
      <w:r>
        <w:rPr>
          <w:rFonts w:hint="eastAsia" w:ascii="仿宋" w:hAnsi="仿宋" w:eastAsia="仿宋"/>
          <w:b/>
          <w:sz w:val="32"/>
          <w:szCs w:val="32"/>
        </w:rPr>
        <w:t>%</w:t>
      </w:r>
      <w:r>
        <w:rPr>
          <w:rFonts w:hint="eastAsia" w:ascii="仿宋" w:hAnsi="仿宋" w:eastAsia="仿宋"/>
          <w:sz w:val="32"/>
          <w:szCs w:val="32"/>
        </w:rPr>
        <w:t>；</w:t>
      </w:r>
      <w:r>
        <w:rPr>
          <w:rFonts w:hint="eastAsia" w:ascii="仿宋" w:hAnsi="仿宋" w:eastAsia="仿宋"/>
          <w:b/>
          <w:sz w:val="32"/>
          <w:szCs w:val="32"/>
        </w:rPr>
        <w:t>教育支出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科学技术</w:t>
      </w:r>
      <w:r>
        <w:rPr>
          <w:rFonts w:hint="eastAsia" w:ascii="仿宋" w:hAnsi="仿宋" w:eastAsia="仿宋"/>
          <w:b/>
          <w:bCs/>
          <w:sz w:val="32"/>
          <w:szCs w:val="32"/>
        </w:rPr>
        <w:t>支出</w:t>
      </w:r>
      <w:r>
        <w:rPr>
          <w:rFonts w:hint="eastAsia" w:ascii="仿宋" w:hAnsi="仿宋" w:eastAsia="仿宋"/>
          <w:b/>
          <w:sz w:val="32"/>
          <w:szCs w:val="32"/>
          <w:lang w:val="en-US" w:eastAsia="zh-CN"/>
        </w:rPr>
        <w:t>2.7</w:t>
      </w:r>
      <w:r>
        <w:rPr>
          <w:rFonts w:hint="eastAsia" w:ascii="仿宋" w:hAnsi="仿宋" w:eastAsia="仿宋"/>
          <w:sz w:val="32"/>
          <w:szCs w:val="32"/>
        </w:rPr>
        <w:t>万元，占</w:t>
      </w:r>
      <w:r>
        <w:rPr>
          <w:rFonts w:hint="eastAsia" w:ascii="仿宋" w:hAnsi="仿宋" w:eastAsia="仿宋"/>
          <w:b/>
          <w:sz w:val="32"/>
          <w:szCs w:val="32"/>
          <w:lang w:val="en-US" w:eastAsia="zh-CN"/>
        </w:rPr>
        <w:t>0.01</w:t>
      </w:r>
      <w:r>
        <w:rPr>
          <w:rFonts w:hint="eastAsia" w:ascii="仿宋" w:hAnsi="仿宋" w:eastAsia="仿宋"/>
          <w:b/>
          <w:sz w:val="32"/>
          <w:szCs w:val="32"/>
        </w:rPr>
        <w:t>%</w:t>
      </w:r>
      <w:r>
        <w:rPr>
          <w:rFonts w:hint="eastAsia" w:ascii="仿宋" w:hAnsi="仿宋" w:eastAsia="仿宋"/>
          <w:sz w:val="32"/>
          <w:szCs w:val="32"/>
        </w:rPr>
        <w:t>；</w:t>
      </w:r>
      <w:r>
        <w:rPr>
          <w:rFonts w:hint="eastAsia" w:ascii="仿宋" w:hAnsi="仿宋" w:eastAsia="仿宋"/>
          <w:b/>
          <w:bCs/>
          <w:sz w:val="32"/>
          <w:szCs w:val="32"/>
        </w:rPr>
        <w:t>文化旅游体育与传媒支出</w:t>
      </w:r>
      <w:r>
        <w:rPr>
          <w:rFonts w:hint="eastAsia" w:ascii="仿宋" w:hAnsi="仿宋" w:eastAsia="仿宋"/>
          <w:b/>
          <w:bCs/>
          <w:sz w:val="32"/>
          <w:szCs w:val="32"/>
          <w:lang w:val="en-US" w:eastAsia="zh-CN"/>
        </w:rPr>
        <w:t>0</w:t>
      </w:r>
      <w:r>
        <w:rPr>
          <w:rFonts w:hint="eastAsia" w:ascii="仿宋" w:hAnsi="仿宋" w:eastAsia="仿宋"/>
          <w:b/>
          <w:bCs/>
          <w:sz w:val="32"/>
          <w:szCs w:val="32"/>
        </w:rPr>
        <w:t>万元，占</w:t>
      </w:r>
      <w:r>
        <w:rPr>
          <w:rFonts w:hint="eastAsia" w:ascii="仿宋" w:hAnsi="仿宋" w:eastAsia="仿宋"/>
          <w:b/>
          <w:bCs/>
          <w:sz w:val="32"/>
          <w:szCs w:val="32"/>
          <w:lang w:val="en-US" w:eastAsia="zh-CN"/>
        </w:rPr>
        <w:t>0</w:t>
      </w:r>
      <w:r>
        <w:rPr>
          <w:rFonts w:ascii="仿宋" w:hAnsi="仿宋" w:eastAsia="仿宋"/>
          <w:b/>
          <w:bCs/>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b/>
          <w:sz w:val="32"/>
          <w:szCs w:val="32"/>
          <w:lang w:val="en-US" w:eastAsia="zh-CN"/>
        </w:rPr>
        <w:t>2843.85</w:t>
      </w:r>
      <w:r>
        <w:rPr>
          <w:rFonts w:hint="eastAsia" w:ascii="仿宋" w:hAnsi="仿宋" w:eastAsia="仿宋"/>
          <w:sz w:val="32"/>
          <w:szCs w:val="32"/>
        </w:rPr>
        <w:t>万元，占</w:t>
      </w:r>
      <w:r>
        <w:rPr>
          <w:rFonts w:hint="eastAsia" w:ascii="仿宋" w:hAnsi="仿宋" w:eastAsia="仿宋"/>
          <w:b/>
          <w:sz w:val="32"/>
          <w:szCs w:val="32"/>
          <w:lang w:val="en-US" w:eastAsia="zh-CN"/>
        </w:rPr>
        <w:t>11.24</w:t>
      </w:r>
      <w:r>
        <w:rPr>
          <w:rFonts w:hint="eastAsia" w:ascii="仿宋" w:hAnsi="仿宋" w:eastAsia="仿宋"/>
          <w:b/>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b/>
          <w:sz w:val="32"/>
          <w:szCs w:val="32"/>
          <w:lang w:val="en-US" w:eastAsia="zh-CN"/>
        </w:rPr>
        <w:t>22452.31</w:t>
      </w:r>
      <w:r>
        <w:rPr>
          <w:rFonts w:hint="eastAsia" w:ascii="仿宋" w:hAnsi="仿宋" w:eastAsia="仿宋"/>
          <w:sz w:val="32"/>
          <w:szCs w:val="32"/>
        </w:rPr>
        <w:t>万元，占</w:t>
      </w:r>
      <w:r>
        <w:rPr>
          <w:rFonts w:hint="eastAsia" w:ascii="仿宋" w:hAnsi="仿宋" w:eastAsia="仿宋"/>
          <w:b/>
          <w:sz w:val="32"/>
          <w:szCs w:val="32"/>
          <w:lang w:val="en-US" w:eastAsia="zh-CN"/>
        </w:rPr>
        <w:t>88.75</w:t>
      </w:r>
      <w:r>
        <w:rPr>
          <w:rFonts w:hint="eastAsia" w:ascii="仿宋" w:hAnsi="仿宋" w:eastAsia="仿宋"/>
          <w:b/>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b/>
          <w:sz w:val="32"/>
          <w:szCs w:val="32"/>
          <w:lang w:val="en-US" w:eastAsia="zh-CN"/>
        </w:rPr>
        <w:t>0</w:t>
      </w:r>
      <w:r>
        <w:rPr>
          <w:rFonts w:hint="eastAsia" w:ascii="仿宋" w:hAnsi="仿宋" w:eastAsia="仿宋"/>
          <w:sz w:val="32"/>
          <w:szCs w:val="32"/>
        </w:rPr>
        <w:t>万元，占</w:t>
      </w:r>
      <w:r>
        <w:rPr>
          <w:rFonts w:hint="eastAsia" w:ascii="仿宋" w:hAnsi="仿宋" w:eastAsia="仿宋"/>
          <w:b/>
          <w:sz w:val="32"/>
          <w:szCs w:val="32"/>
          <w:lang w:val="en-US" w:eastAsia="zh-CN"/>
        </w:rPr>
        <w:t>0</w:t>
      </w:r>
      <w:r>
        <w:rPr>
          <w:rFonts w:hint="eastAsia" w:ascii="仿宋" w:hAnsi="仿宋" w:eastAsia="仿宋"/>
          <w:b/>
          <w:sz w:val="32"/>
          <w:szCs w:val="32"/>
        </w:rPr>
        <w:t>%</w:t>
      </w:r>
      <w:r>
        <w:rPr>
          <w:rFonts w:hint="eastAsia" w:ascii="仿宋" w:hAnsi="仿宋" w:eastAsia="仿宋"/>
          <w:sz w:val="32"/>
          <w:szCs w:val="32"/>
        </w:rPr>
        <w:t>。</w:t>
      </w:r>
    </w:p>
    <w:p w14:paraId="37B298D4">
      <w:pPr>
        <w:spacing w:line="600" w:lineRule="exact"/>
        <w:ind w:firstLine="640"/>
        <w:rPr>
          <w:rFonts w:ascii="仿宋" w:hAnsi="仿宋" w:eastAsia="仿宋"/>
          <w:sz w:val="32"/>
          <w:szCs w:val="32"/>
        </w:rPr>
      </w:pPr>
      <w:r>
        <w:rPr>
          <w:rFonts w:hint="eastAsia" w:ascii="仿宋" w:hAnsi="仿宋" w:eastAsia="仿宋"/>
          <w:b/>
          <w:sz w:val="32"/>
          <w:szCs w:val="32"/>
        </w:rPr>
        <w:t>（注：数据来源于财决01-1表，仅罗列本单位涉及的全部功能分类科目，至类级。）</w:t>
      </w:r>
    </w:p>
    <w:p w14:paraId="5A94B98A">
      <w:pPr>
        <w:pStyle w:val="2"/>
        <w:jc w:val="center"/>
      </w:pPr>
      <w:r>
        <w:drawing>
          <wp:inline distT="0" distB="0" distL="114300" distR="114300">
            <wp:extent cx="4404360" cy="2153920"/>
            <wp:effectExtent l="4445" t="5080" r="10795" b="12700"/>
            <wp:docPr id="1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FFF6EC0">
      <w:pPr>
        <w:spacing w:line="600" w:lineRule="exact"/>
        <w:ind w:firstLine="640" w:firstLineChars="200"/>
        <w:jc w:val="center"/>
        <w:rPr>
          <w:rFonts w:ascii="仿宋" w:hAnsi="仿宋" w:eastAsia="仿宋"/>
          <w:sz w:val="32"/>
          <w:szCs w:val="32"/>
        </w:rPr>
      </w:pPr>
      <w:r>
        <w:rPr>
          <w:rFonts w:hint="eastAsia" w:ascii="仿宋" w:hAnsi="仿宋" w:eastAsia="仿宋"/>
          <w:sz w:val="32"/>
          <w:szCs w:val="32"/>
        </w:rPr>
        <w:t>（图6：一般公共预算财政拨款支出决算结构）</w:t>
      </w:r>
    </w:p>
    <w:p w14:paraId="5DCD94A3">
      <w:pPr>
        <w:spacing w:line="600" w:lineRule="exact"/>
        <w:ind w:firstLine="640" w:firstLineChars="200"/>
        <w:rPr>
          <w:rFonts w:ascii="仿宋" w:hAnsi="仿宋" w:eastAsia="仿宋"/>
          <w:sz w:val="32"/>
          <w:szCs w:val="32"/>
        </w:rPr>
      </w:pPr>
    </w:p>
    <w:p w14:paraId="742F2F6A">
      <w:pPr>
        <w:spacing w:line="600" w:lineRule="exact"/>
        <w:ind w:firstLine="643" w:firstLineChars="200"/>
        <w:outlineLvl w:val="2"/>
        <w:rPr>
          <w:rFonts w:ascii="仿宋" w:hAnsi="仿宋" w:eastAsia="仿宋"/>
          <w:b/>
          <w:sz w:val="32"/>
          <w:szCs w:val="32"/>
        </w:rPr>
      </w:pPr>
      <w:bookmarkStart w:id="47" w:name="_Toc15377212"/>
      <w:r>
        <w:rPr>
          <w:rFonts w:hint="eastAsia" w:ascii="仿宋" w:hAnsi="仿宋" w:eastAsia="仿宋"/>
          <w:b/>
          <w:sz w:val="32"/>
          <w:szCs w:val="32"/>
        </w:rPr>
        <w:t>（三）一般公共预算财政拨款支出决算具体情况</w:t>
      </w:r>
      <w:bookmarkEnd w:id="47"/>
    </w:p>
    <w:p w14:paraId="4179B78C">
      <w:pPr>
        <w:spacing w:line="600" w:lineRule="exact"/>
        <w:ind w:firstLine="643" w:firstLineChars="200"/>
        <w:outlineLvl w:val="1"/>
        <w:rPr>
          <w:rFonts w:ascii="仿宋" w:hAnsi="仿宋" w:eastAsia="仿宋"/>
          <w:sz w:val="32"/>
          <w:szCs w:val="32"/>
        </w:rPr>
      </w:pPr>
      <w:bookmarkStart w:id="48" w:name="_Toc15377444"/>
      <w:bookmarkStart w:id="49" w:name="_Toc15377213"/>
      <w:bookmarkStart w:id="50" w:name="_Toc13593"/>
      <w:bookmarkStart w:id="51" w:name="_Toc15378460"/>
      <w:r>
        <w:rPr>
          <w:rFonts w:hint="eastAsia" w:ascii="仿宋" w:hAnsi="仿宋" w:eastAsia="仿宋"/>
          <w:b/>
          <w:sz w:val="32"/>
          <w:szCs w:val="32"/>
        </w:rPr>
        <w:t>2023年度一般公共预算支出决算数为</w:t>
      </w:r>
      <w:r>
        <w:rPr>
          <w:rFonts w:ascii="仿宋" w:hAnsi="仿宋" w:eastAsia="仿宋"/>
          <w:b/>
          <w:sz w:val="32"/>
          <w:szCs w:val="32"/>
        </w:rPr>
        <w:t>25298.86</w:t>
      </w:r>
      <w:r>
        <w:rPr>
          <w:rFonts w:hint="eastAsia" w:ascii="仿宋" w:hAnsi="仿宋" w:eastAsia="仿宋"/>
          <w:sz w:val="32"/>
          <w:szCs w:val="32"/>
        </w:rPr>
        <w:t>，</w:t>
      </w:r>
      <w:r>
        <w:rPr>
          <w:rStyle w:val="17"/>
          <w:rFonts w:hint="eastAsia" w:ascii="仿宋" w:hAnsi="仿宋" w:eastAsia="仿宋"/>
          <w:bCs/>
          <w:sz w:val="32"/>
          <w:szCs w:val="32"/>
        </w:rPr>
        <w:t>完成预算</w:t>
      </w:r>
      <w:r>
        <w:rPr>
          <w:rStyle w:val="17"/>
          <w:rFonts w:hint="eastAsia" w:ascii="仿宋" w:hAnsi="仿宋" w:eastAsia="仿宋"/>
          <w:bCs/>
          <w:sz w:val="32"/>
          <w:szCs w:val="32"/>
          <w:lang w:val="en-US" w:eastAsia="zh-CN"/>
        </w:rPr>
        <w:t>100</w:t>
      </w:r>
      <w:r>
        <w:rPr>
          <w:rStyle w:val="17"/>
          <w:rFonts w:ascii="仿宋" w:hAnsi="仿宋" w:eastAsia="仿宋"/>
          <w:bCs/>
          <w:sz w:val="32"/>
          <w:szCs w:val="32"/>
        </w:rPr>
        <w:t>%</w:t>
      </w:r>
      <w:r>
        <w:rPr>
          <w:rStyle w:val="17"/>
          <w:rFonts w:hint="eastAsia" w:ascii="仿宋" w:hAnsi="仿宋" w:eastAsia="仿宋"/>
          <w:bCs/>
          <w:sz w:val="32"/>
          <w:szCs w:val="32"/>
        </w:rPr>
        <w:t>。其中：</w:t>
      </w:r>
      <w:bookmarkEnd w:id="48"/>
      <w:bookmarkEnd w:id="49"/>
      <w:bookmarkEnd w:id="50"/>
      <w:bookmarkEnd w:id="51"/>
    </w:p>
    <w:p w14:paraId="4652B233">
      <w:pPr>
        <w:spacing w:line="600" w:lineRule="exact"/>
        <w:ind w:firstLine="643" w:firstLineChars="200"/>
        <w:rPr>
          <w:rFonts w:ascii="仿宋" w:hAnsi="仿宋" w:eastAsia="仿宋"/>
          <w:b/>
          <w:sz w:val="32"/>
          <w:szCs w:val="32"/>
        </w:rPr>
      </w:pPr>
      <w:r>
        <w:rPr>
          <w:rStyle w:val="17"/>
          <w:rFonts w:ascii="仿宋" w:hAnsi="仿宋" w:eastAsia="仿宋"/>
          <w:bCs/>
          <w:sz w:val="32"/>
          <w:szCs w:val="32"/>
        </w:rPr>
        <w:t>1.</w:t>
      </w:r>
      <w:r>
        <w:rPr>
          <w:rStyle w:val="17"/>
          <w:rFonts w:hint="eastAsia" w:ascii="仿宋" w:hAnsi="仿宋" w:eastAsia="仿宋" w:cstheme="minorBidi"/>
          <w:bCs/>
          <w:kern w:val="2"/>
          <w:sz w:val="32"/>
          <w:szCs w:val="32"/>
          <w:lang w:val="en-US" w:eastAsia="zh-CN" w:bidi="ar-SA"/>
        </w:rPr>
        <w:t>科学技术支出（类）技术研究与开发（款）其他技术研究与开发支出（项）</w:t>
      </w:r>
      <w:r>
        <w:rPr>
          <w:rStyle w:val="17"/>
          <w:rFonts w:ascii="仿宋" w:hAnsi="仿宋" w:eastAsia="仿宋" w:cstheme="minorBidi"/>
          <w:bCs/>
          <w:kern w:val="2"/>
          <w:sz w:val="32"/>
          <w:szCs w:val="32"/>
          <w:lang w:val="en-US" w:eastAsia="zh-CN" w:bidi="ar-SA"/>
        </w:rPr>
        <w:t>: </w:t>
      </w:r>
      <w:r>
        <w:rPr>
          <w:rStyle w:val="17"/>
          <w:rFonts w:hint="eastAsia" w:ascii="仿宋" w:hAnsi="仿宋" w:eastAsia="仿宋"/>
          <w:b w:val="0"/>
          <w:bCs/>
          <w:sz w:val="32"/>
          <w:szCs w:val="32"/>
        </w:rPr>
        <w:t>支出决算为</w:t>
      </w:r>
      <w:r>
        <w:rPr>
          <w:rFonts w:hint="eastAsia" w:ascii="仿宋" w:hAnsi="仿宋" w:eastAsia="仿宋"/>
          <w:b/>
          <w:sz w:val="32"/>
          <w:szCs w:val="32"/>
          <w:lang w:val="en-US" w:eastAsia="zh-CN"/>
        </w:rPr>
        <w:t>2.7</w:t>
      </w:r>
      <w:r>
        <w:rPr>
          <w:rStyle w:val="17"/>
          <w:rFonts w:hint="eastAsia" w:ascii="仿宋" w:hAnsi="仿宋" w:eastAsia="仿宋"/>
          <w:b w:val="0"/>
          <w:bCs/>
          <w:sz w:val="32"/>
          <w:szCs w:val="32"/>
        </w:rPr>
        <w:t>万元，完成预算</w:t>
      </w:r>
      <w:r>
        <w:rPr>
          <w:rFonts w:hint="eastAsia" w:ascii="仿宋" w:hAnsi="仿宋" w:eastAsia="仿宋"/>
          <w:b/>
          <w:sz w:val="32"/>
          <w:szCs w:val="32"/>
          <w:lang w:val="en-US" w:eastAsia="zh-CN"/>
        </w:rPr>
        <w:t>100</w:t>
      </w:r>
      <w:r>
        <w:rPr>
          <w:rFonts w:hint="eastAsia" w:ascii="仿宋" w:hAnsi="仿宋" w:eastAsia="仿宋"/>
          <w:b/>
          <w:sz w:val="32"/>
          <w:szCs w:val="32"/>
        </w:rPr>
        <w:t>%</w:t>
      </w:r>
      <w:r>
        <w:rPr>
          <w:rStyle w:val="17"/>
          <w:rFonts w:hint="eastAsia" w:ascii="仿宋" w:hAnsi="仿宋" w:eastAsia="仿宋"/>
          <w:b w:val="0"/>
          <w:bCs/>
          <w:sz w:val="32"/>
          <w:szCs w:val="32"/>
        </w:rPr>
        <w:t>。</w:t>
      </w:r>
    </w:p>
    <w:p w14:paraId="298DF949">
      <w:pPr>
        <w:spacing w:line="600" w:lineRule="exact"/>
        <w:ind w:firstLine="643" w:firstLineChars="200"/>
      </w:pPr>
      <w:r>
        <w:rPr>
          <w:rStyle w:val="17"/>
          <w:rFonts w:ascii="仿宋" w:hAnsi="仿宋" w:eastAsia="仿宋"/>
          <w:bCs/>
          <w:sz w:val="32"/>
          <w:szCs w:val="32"/>
        </w:rPr>
        <w:t>2.</w:t>
      </w:r>
      <w:r>
        <w:rPr>
          <w:rStyle w:val="17"/>
          <w:rFonts w:hint="eastAsia" w:ascii="仿宋" w:hAnsi="仿宋" w:eastAsia="仿宋" w:cstheme="minorBidi"/>
          <w:bCs/>
          <w:kern w:val="2"/>
          <w:sz w:val="32"/>
          <w:szCs w:val="32"/>
          <w:lang w:val="en-US" w:eastAsia="zh-CN" w:bidi="ar-SA"/>
        </w:rPr>
        <w:t>社会保障和就业（类）人力资源和社会保障管理事务（款）其他人力资源和社会保障管理事务支出（项）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Fonts w:hint="eastAsia" w:ascii="仿宋" w:hAnsi="仿宋" w:eastAsia="仿宋"/>
          <w:b/>
          <w:sz w:val="32"/>
          <w:szCs w:val="32"/>
          <w:lang w:val="en-US" w:eastAsia="zh-CN"/>
        </w:rPr>
        <w:t>3.01</w:t>
      </w:r>
      <w:r>
        <w:rPr>
          <w:rStyle w:val="17"/>
          <w:rFonts w:hint="eastAsia" w:ascii="仿宋" w:hAnsi="仿宋" w:eastAsia="仿宋"/>
          <w:b w:val="0"/>
          <w:bCs/>
          <w:sz w:val="32"/>
          <w:szCs w:val="32"/>
        </w:rPr>
        <w:t>万元，完成预算</w:t>
      </w:r>
      <w:r>
        <w:rPr>
          <w:rFonts w:hint="eastAsia" w:ascii="仿宋" w:hAnsi="仿宋" w:eastAsia="仿宋"/>
          <w:b/>
          <w:sz w:val="32"/>
          <w:szCs w:val="32"/>
          <w:lang w:val="en-US" w:eastAsia="zh-CN"/>
        </w:rPr>
        <w:t>100</w:t>
      </w:r>
      <w:r>
        <w:rPr>
          <w:rFonts w:hint="eastAsia" w:ascii="仿宋" w:hAnsi="仿宋" w:eastAsia="仿宋"/>
          <w:b/>
          <w:sz w:val="32"/>
          <w:szCs w:val="32"/>
        </w:rPr>
        <w:t>%</w:t>
      </w:r>
      <w:r>
        <w:rPr>
          <w:rStyle w:val="17"/>
          <w:rFonts w:hint="eastAsia" w:ascii="仿宋" w:hAnsi="仿宋" w:eastAsia="仿宋"/>
          <w:b w:val="0"/>
          <w:bCs/>
          <w:sz w:val="32"/>
          <w:szCs w:val="32"/>
        </w:rPr>
        <w:t>。</w:t>
      </w:r>
    </w:p>
    <w:p w14:paraId="789FBC28">
      <w:pPr>
        <w:spacing w:line="600" w:lineRule="exact"/>
        <w:ind w:firstLine="643" w:firstLineChars="200"/>
        <w:rPr>
          <w:rFonts w:ascii="仿宋" w:hAnsi="仿宋" w:eastAsia="仿宋"/>
          <w:b/>
          <w:sz w:val="32"/>
          <w:szCs w:val="32"/>
        </w:rPr>
      </w:pPr>
      <w:r>
        <w:rPr>
          <w:rStyle w:val="17"/>
          <w:rFonts w:ascii="仿宋" w:hAnsi="仿宋" w:eastAsia="仿宋"/>
          <w:bCs/>
          <w:sz w:val="32"/>
          <w:szCs w:val="32"/>
        </w:rPr>
        <w:t>3.</w:t>
      </w:r>
      <w:r>
        <w:rPr>
          <w:rStyle w:val="17"/>
          <w:rFonts w:hint="eastAsia" w:ascii="仿宋" w:hAnsi="仿宋" w:eastAsia="仿宋" w:cstheme="minorBidi"/>
          <w:bCs/>
          <w:kern w:val="2"/>
          <w:sz w:val="32"/>
          <w:szCs w:val="32"/>
          <w:lang w:val="en-US" w:eastAsia="zh-CN" w:bidi="ar-SA"/>
        </w:rPr>
        <w:t>社会保障和就业（类）行政事业单位养老支出（款）事业单位离退休（项）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Fonts w:hint="eastAsia" w:ascii="仿宋" w:hAnsi="仿宋" w:eastAsia="仿宋"/>
          <w:b/>
          <w:sz w:val="32"/>
          <w:szCs w:val="32"/>
          <w:lang w:val="en-US" w:eastAsia="zh-CN"/>
        </w:rPr>
        <w:t>1988.90</w:t>
      </w:r>
      <w:r>
        <w:rPr>
          <w:rStyle w:val="17"/>
          <w:rFonts w:hint="eastAsia" w:ascii="仿宋" w:hAnsi="仿宋" w:eastAsia="仿宋"/>
          <w:b w:val="0"/>
          <w:bCs/>
          <w:sz w:val="32"/>
          <w:szCs w:val="32"/>
        </w:rPr>
        <w:t>万元，完成预算</w:t>
      </w:r>
      <w:r>
        <w:rPr>
          <w:rFonts w:hint="eastAsia" w:ascii="仿宋" w:hAnsi="仿宋" w:eastAsia="仿宋"/>
          <w:b/>
          <w:sz w:val="32"/>
          <w:szCs w:val="32"/>
          <w:lang w:val="en-US" w:eastAsia="zh-CN"/>
        </w:rPr>
        <w:t>100</w:t>
      </w:r>
      <w:r>
        <w:rPr>
          <w:rFonts w:hint="eastAsia" w:ascii="仿宋" w:hAnsi="仿宋" w:eastAsia="仿宋"/>
          <w:b/>
          <w:sz w:val="32"/>
          <w:szCs w:val="32"/>
        </w:rPr>
        <w:t>%</w:t>
      </w:r>
      <w:r>
        <w:rPr>
          <w:rStyle w:val="17"/>
          <w:rFonts w:hint="eastAsia" w:ascii="仿宋" w:hAnsi="仿宋" w:eastAsia="仿宋"/>
          <w:b w:val="0"/>
          <w:bCs/>
          <w:sz w:val="32"/>
          <w:szCs w:val="32"/>
        </w:rPr>
        <w:t>。</w:t>
      </w:r>
    </w:p>
    <w:p w14:paraId="5D03971B">
      <w:pPr>
        <w:spacing w:line="600" w:lineRule="exact"/>
        <w:ind w:firstLine="643" w:firstLineChars="200"/>
        <w:rPr>
          <w:rFonts w:ascii="仿宋" w:hAnsi="仿宋" w:eastAsia="仿宋"/>
          <w:b/>
          <w:sz w:val="32"/>
          <w:szCs w:val="32"/>
        </w:rPr>
      </w:pPr>
      <w:r>
        <w:rPr>
          <w:rStyle w:val="17"/>
          <w:rFonts w:ascii="仿宋" w:hAnsi="仿宋" w:eastAsia="仿宋"/>
          <w:bCs/>
          <w:sz w:val="32"/>
          <w:szCs w:val="32"/>
        </w:rPr>
        <w:t>4.</w:t>
      </w:r>
      <w:r>
        <w:rPr>
          <w:rStyle w:val="17"/>
          <w:rFonts w:hint="eastAsia" w:ascii="仿宋" w:hAnsi="仿宋" w:eastAsia="仿宋" w:cstheme="minorBidi"/>
          <w:bCs/>
          <w:kern w:val="2"/>
          <w:sz w:val="32"/>
          <w:szCs w:val="32"/>
          <w:lang w:val="en-US" w:eastAsia="zh-CN" w:bidi="ar-SA"/>
        </w:rPr>
        <w:t>社会保障和就业（类）行政事业单位养老支出（款）机关事业单位基本养老保险缴费支出（项）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Fonts w:hint="eastAsia" w:ascii="仿宋" w:hAnsi="仿宋" w:eastAsia="仿宋"/>
          <w:b/>
          <w:sz w:val="32"/>
          <w:szCs w:val="32"/>
          <w:lang w:val="en-US" w:eastAsia="zh-CN"/>
        </w:rPr>
        <w:t>566.93</w:t>
      </w:r>
      <w:r>
        <w:rPr>
          <w:rStyle w:val="17"/>
          <w:rFonts w:hint="eastAsia" w:ascii="仿宋" w:hAnsi="仿宋" w:eastAsia="仿宋"/>
          <w:b w:val="0"/>
          <w:bCs/>
          <w:sz w:val="32"/>
          <w:szCs w:val="32"/>
        </w:rPr>
        <w:t>万元，完成预算</w:t>
      </w:r>
      <w:r>
        <w:rPr>
          <w:rFonts w:hint="eastAsia" w:ascii="仿宋" w:hAnsi="仿宋" w:eastAsia="仿宋"/>
          <w:b/>
          <w:sz w:val="32"/>
          <w:szCs w:val="32"/>
          <w:lang w:val="en-US" w:eastAsia="zh-CN"/>
        </w:rPr>
        <w:t>100</w:t>
      </w:r>
      <w:r>
        <w:rPr>
          <w:rFonts w:hint="eastAsia" w:ascii="仿宋" w:hAnsi="仿宋" w:eastAsia="仿宋"/>
          <w:b/>
          <w:sz w:val="32"/>
          <w:szCs w:val="32"/>
        </w:rPr>
        <w:t>%</w:t>
      </w:r>
      <w:r>
        <w:rPr>
          <w:rStyle w:val="17"/>
          <w:rFonts w:hint="eastAsia" w:ascii="仿宋" w:hAnsi="仿宋" w:eastAsia="仿宋"/>
          <w:b w:val="0"/>
          <w:bCs/>
          <w:sz w:val="32"/>
          <w:szCs w:val="32"/>
        </w:rPr>
        <w:t>。</w:t>
      </w:r>
    </w:p>
    <w:p w14:paraId="50A0BAC2">
      <w:pPr>
        <w:spacing w:line="600" w:lineRule="exact"/>
        <w:ind w:firstLine="643" w:firstLineChars="200"/>
        <w:rPr>
          <w:rFonts w:ascii="仿宋" w:hAnsi="仿宋" w:eastAsia="仿宋"/>
          <w:b/>
          <w:sz w:val="32"/>
          <w:szCs w:val="32"/>
        </w:rPr>
      </w:pPr>
      <w:r>
        <w:rPr>
          <w:rStyle w:val="17"/>
          <w:rFonts w:ascii="仿宋" w:hAnsi="仿宋" w:eastAsia="仿宋"/>
          <w:bCs/>
          <w:sz w:val="32"/>
          <w:szCs w:val="32"/>
        </w:rPr>
        <w:t>5.</w:t>
      </w:r>
      <w:r>
        <w:rPr>
          <w:rStyle w:val="17"/>
          <w:rFonts w:hint="eastAsia" w:ascii="仿宋" w:hAnsi="仿宋" w:eastAsia="仿宋" w:cstheme="minorBidi"/>
          <w:bCs/>
          <w:kern w:val="2"/>
          <w:sz w:val="32"/>
          <w:szCs w:val="32"/>
          <w:lang w:val="en-US" w:eastAsia="zh-CN" w:bidi="ar-SA"/>
        </w:rPr>
        <w:t>社会保障和就业（类）行政事业单位养老支出（款）机关事业单位职业年金缴费支出（项）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Fonts w:hint="eastAsia" w:ascii="仿宋" w:hAnsi="仿宋" w:eastAsia="仿宋"/>
          <w:b/>
          <w:sz w:val="32"/>
          <w:szCs w:val="32"/>
          <w:lang w:val="en-US" w:eastAsia="zh-CN"/>
        </w:rPr>
        <w:t>283.47</w:t>
      </w:r>
      <w:r>
        <w:rPr>
          <w:rStyle w:val="17"/>
          <w:rFonts w:hint="eastAsia" w:ascii="仿宋" w:hAnsi="仿宋" w:eastAsia="仿宋"/>
          <w:b w:val="0"/>
          <w:bCs/>
          <w:sz w:val="32"/>
          <w:szCs w:val="32"/>
        </w:rPr>
        <w:t>万元，完成预算</w:t>
      </w:r>
      <w:r>
        <w:rPr>
          <w:rFonts w:hint="eastAsia" w:ascii="仿宋" w:hAnsi="仿宋" w:eastAsia="仿宋"/>
          <w:b/>
          <w:sz w:val="32"/>
          <w:szCs w:val="32"/>
          <w:lang w:val="en-US" w:eastAsia="zh-CN"/>
        </w:rPr>
        <w:t>100</w:t>
      </w:r>
      <w:r>
        <w:rPr>
          <w:rFonts w:hint="eastAsia" w:ascii="仿宋" w:hAnsi="仿宋" w:eastAsia="仿宋"/>
          <w:b/>
          <w:sz w:val="32"/>
          <w:szCs w:val="32"/>
        </w:rPr>
        <w:t>%</w:t>
      </w:r>
      <w:r>
        <w:rPr>
          <w:rStyle w:val="17"/>
          <w:rFonts w:hint="eastAsia" w:ascii="仿宋" w:hAnsi="仿宋" w:eastAsia="仿宋"/>
          <w:b w:val="0"/>
          <w:bCs/>
          <w:sz w:val="32"/>
          <w:szCs w:val="32"/>
        </w:rPr>
        <w:t>。</w:t>
      </w:r>
    </w:p>
    <w:p w14:paraId="0F6DB5F8">
      <w:pPr>
        <w:spacing w:line="600" w:lineRule="exact"/>
        <w:ind w:firstLine="643" w:firstLineChars="200"/>
        <w:rPr>
          <w:rStyle w:val="17"/>
          <w:rFonts w:hint="eastAsia" w:ascii="仿宋" w:hAnsi="仿宋" w:eastAsia="仿宋"/>
          <w:b w:val="0"/>
          <w:bCs/>
          <w:sz w:val="32"/>
          <w:szCs w:val="32"/>
        </w:rPr>
      </w:pPr>
      <w:r>
        <w:rPr>
          <w:rStyle w:val="17"/>
          <w:rFonts w:ascii="仿宋" w:hAnsi="仿宋" w:eastAsia="仿宋"/>
          <w:bCs/>
          <w:sz w:val="32"/>
          <w:szCs w:val="32"/>
        </w:rPr>
        <w:t>6.</w:t>
      </w:r>
      <w:r>
        <w:rPr>
          <w:rStyle w:val="17"/>
          <w:rFonts w:hint="eastAsia" w:ascii="仿宋" w:hAnsi="仿宋" w:eastAsia="仿宋" w:cstheme="minorBidi"/>
          <w:bCs/>
          <w:kern w:val="2"/>
          <w:sz w:val="32"/>
          <w:szCs w:val="32"/>
          <w:lang w:val="en-US" w:eastAsia="zh-CN" w:bidi="ar-SA"/>
        </w:rPr>
        <w:t>社会保障和就业（类）其他社会保障和就业支出（款）其他社会保障和就业支出（项）</w:t>
      </w:r>
      <w:r>
        <w:rPr>
          <w:rStyle w:val="17"/>
          <w:rFonts w:ascii="仿宋" w:hAnsi="仿宋" w:eastAsia="仿宋"/>
          <w:bCs/>
          <w:sz w:val="32"/>
          <w:szCs w:val="32"/>
        </w:rPr>
        <w:t>:</w:t>
      </w:r>
      <w:r>
        <w:rPr>
          <w:rStyle w:val="17"/>
          <w:rFonts w:hint="eastAsia" w:ascii="仿宋" w:hAnsi="仿宋" w:eastAsia="仿宋"/>
          <w:b w:val="0"/>
          <w:bCs/>
          <w:sz w:val="32"/>
          <w:szCs w:val="32"/>
        </w:rPr>
        <w:t>支出决算为</w:t>
      </w:r>
      <w:r>
        <w:rPr>
          <w:rFonts w:hint="eastAsia" w:ascii="仿宋" w:hAnsi="仿宋" w:eastAsia="仿宋"/>
          <w:b/>
          <w:sz w:val="32"/>
          <w:szCs w:val="32"/>
          <w:lang w:val="en-US" w:eastAsia="zh-CN"/>
        </w:rPr>
        <w:t>1.54</w:t>
      </w:r>
      <w:r>
        <w:rPr>
          <w:rStyle w:val="17"/>
          <w:rFonts w:hint="eastAsia" w:ascii="仿宋" w:hAnsi="仿宋" w:eastAsia="仿宋"/>
          <w:b w:val="0"/>
          <w:bCs/>
          <w:sz w:val="32"/>
          <w:szCs w:val="32"/>
        </w:rPr>
        <w:t>万元，完成预算</w:t>
      </w:r>
      <w:r>
        <w:rPr>
          <w:rFonts w:hint="eastAsia" w:ascii="仿宋" w:hAnsi="仿宋" w:eastAsia="仿宋"/>
          <w:b/>
          <w:sz w:val="32"/>
          <w:szCs w:val="32"/>
          <w:lang w:val="en-US" w:eastAsia="zh-CN"/>
        </w:rPr>
        <w:t>100</w:t>
      </w:r>
      <w:r>
        <w:rPr>
          <w:rFonts w:hint="eastAsia" w:ascii="仿宋" w:hAnsi="仿宋" w:eastAsia="仿宋"/>
          <w:b/>
          <w:sz w:val="32"/>
          <w:szCs w:val="32"/>
        </w:rPr>
        <w:t>%</w:t>
      </w:r>
      <w:r>
        <w:rPr>
          <w:rStyle w:val="17"/>
          <w:rFonts w:hint="eastAsia" w:ascii="仿宋" w:hAnsi="仿宋" w:eastAsia="仿宋"/>
          <w:b w:val="0"/>
          <w:bCs/>
          <w:sz w:val="32"/>
          <w:szCs w:val="32"/>
        </w:rPr>
        <w:t>。</w:t>
      </w:r>
    </w:p>
    <w:p w14:paraId="225B419C">
      <w:pPr>
        <w:spacing w:line="600" w:lineRule="exact"/>
        <w:ind w:firstLine="643" w:firstLineChars="200"/>
        <w:rPr>
          <w:rStyle w:val="17"/>
          <w:rFonts w:hint="eastAsia" w:ascii="仿宋" w:hAnsi="仿宋" w:eastAsia="仿宋"/>
          <w:b w:val="0"/>
          <w:bCs/>
          <w:sz w:val="32"/>
          <w:szCs w:val="32"/>
        </w:rPr>
      </w:pPr>
      <w:r>
        <w:rPr>
          <w:rStyle w:val="17"/>
          <w:rFonts w:hint="eastAsia" w:ascii="仿宋" w:hAnsi="仿宋" w:eastAsia="仿宋"/>
          <w:bCs/>
          <w:sz w:val="32"/>
          <w:szCs w:val="32"/>
          <w:lang w:val="en-US" w:eastAsia="zh-CN"/>
        </w:rPr>
        <w:t>7</w:t>
      </w:r>
      <w:r>
        <w:rPr>
          <w:rStyle w:val="17"/>
          <w:rFonts w:ascii="仿宋" w:hAnsi="仿宋" w:eastAsia="仿宋"/>
          <w:bCs/>
          <w:sz w:val="32"/>
          <w:szCs w:val="32"/>
        </w:rPr>
        <w:t>.</w:t>
      </w:r>
      <w:r>
        <w:rPr>
          <w:rStyle w:val="17"/>
          <w:rFonts w:hint="eastAsia" w:ascii="仿宋" w:hAnsi="仿宋" w:eastAsia="仿宋" w:cstheme="minorBidi"/>
          <w:bCs/>
          <w:kern w:val="2"/>
          <w:sz w:val="32"/>
          <w:szCs w:val="32"/>
          <w:lang w:val="en-US" w:eastAsia="zh-CN" w:bidi="ar-SA"/>
        </w:rPr>
        <w:t>卫生健康支出（类）公立医院（款）综合医院（项）</w:t>
      </w:r>
      <w:r>
        <w:rPr>
          <w:rStyle w:val="17"/>
          <w:rFonts w:ascii="仿宋" w:hAnsi="仿宋" w:eastAsia="仿宋"/>
          <w:bCs/>
          <w:sz w:val="32"/>
          <w:szCs w:val="32"/>
        </w:rPr>
        <w:t>:</w:t>
      </w:r>
      <w:r>
        <w:rPr>
          <w:rStyle w:val="17"/>
          <w:rFonts w:hint="eastAsia" w:ascii="仿宋" w:hAnsi="仿宋" w:eastAsia="仿宋"/>
          <w:b w:val="0"/>
          <w:bCs/>
          <w:sz w:val="32"/>
          <w:szCs w:val="32"/>
        </w:rPr>
        <w:t>支出决算为</w:t>
      </w:r>
      <w:r>
        <w:rPr>
          <w:rFonts w:hint="eastAsia" w:ascii="仿宋" w:hAnsi="仿宋" w:eastAsia="仿宋"/>
          <w:b/>
          <w:sz w:val="32"/>
          <w:szCs w:val="32"/>
          <w:lang w:val="en-US" w:eastAsia="zh-CN"/>
        </w:rPr>
        <w:t>16013.94</w:t>
      </w:r>
      <w:r>
        <w:rPr>
          <w:rStyle w:val="17"/>
          <w:rFonts w:hint="eastAsia" w:ascii="仿宋" w:hAnsi="仿宋" w:eastAsia="仿宋"/>
          <w:b w:val="0"/>
          <w:bCs/>
          <w:sz w:val="32"/>
          <w:szCs w:val="32"/>
        </w:rPr>
        <w:t>万元，完成预算</w:t>
      </w:r>
      <w:r>
        <w:rPr>
          <w:rFonts w:hint="eastAsia" w:ascii="仿宋" w:hAnsi="仿宋" w:eastAsia="仿宋"/>
          <w:b/>
          <w:sz w:val="32"/>
          <w:szCs w:val="32"/>
          <w:lang w:val="en-US" w:eastAsia="zh-CN"/>
        </w:rPr>
        <w:t>100</w:t>
      </w:r>
      <w:r>
        <w:rPr>
          <w:rFonts w:hint="eastAsia" w:ascii="仿宋" w:hAnsi="仿宋" w:eastAsia="仿宋"/>
          <w:b/>
          <w:sz w:val="32"/>
          <w:szCs w:val="32"/>
        </w:rPr>
        <w:t>%</w:t>
      </w:r>
      <w:r>
        <w:rPr>
          <w:rStyle w:val="17"/>
          <w:rFonts w:hint="eastAsia" w:ascii="仿宋" w:hAnsi="仿宋" w:eastAsia="仿宋"/>
          <w:b w:val="0"/>
          <w:bCs/>
          <w:sz w:val="32"/>
          <w:szCs w:val="32"/>
        </w:rPr>
        <w:t>。</w:t>
      </w:r>
    </w:p>
    <w:p w14:paraId="0F28AD91">
      <w:pPr>
        <w:spacing w:line="600" w:lineRule="exact"/>
        <w:ind w:firstLine="643" w:firstLineChars="200"/>
        <w:rPr>
          <w:rStyle w:val="17"/>
          <w:rFonts w:hint="eastAsia" w:ascii="仿宋" w:hAnsi="仿宋" w:eastAsia="仿宋"/>
          <w:b w:val="0"/>
          <w:bCs/>
          <w:sz w:val="32"/>
          <w:szCs w:val="32"/>
        </w:rPr>
      </w:pPr>
      <w:r>
        <w:rPr>
          <w:rStyle w:val="17"/>
          <w:rFonts w:hint="eastAsia" w:ascii="仿宋" w:hAnsi="仿宋" w:eastAsia="仿宋"/>
          <w:bCs/>
          <w:sz w:val="32"/>
          <w:szCs w:val="32"/>
          <w:lang w:val="en-US" w:eastAsia="zh-CN"/>
        </w:rPr>
        <w:t>8</w:t>
      </w:r>
      <w:r>
        <w:rPr>
          <w:rStyle w:val="17"/>
          <w:rFonts w:ascii="仿宋" w:hAnsi="仿宋" w:eastAsia="仿宋"/>
          <w:bCs/>
          <w:sz w:val="32"/>
          <w:szCs w:val="32"/>
        </w:rPr>
        <w:t>.</w:t>
      </w:r>
      <w:r>
        <w:rPr>
          <w:rStyle w:val="17"/>
          <w:rFonts w:hint="eastAsia" w:ascii="仿宋" w:hAnsi="仿宋" w:eastAsia="仿宋" w:cstheme="minorBidi"/>
          <w:bCs/>
          <w:kern w:val="2"/>
          <w:sz w:val="32"/>
          <w:szCs w:val="32"/>
          <w:lang w:val="en-US" w:eastAsia="zh-CN" w:bidi="ar-SA"/>
        </w:rPr>
        <w:t>卫生健康支出（类）公立医院（款）其他公立医院支出（项）</w:t>
      </w:r>
      <w:r>
        <w:rPr>
          <w:rStyle w:val="17"/>
          <w:rFonts w:ascii="仿宋" w:hAnsi="仿宋" w:eastAsia="仿宋"/>
          <w:bCs/>
          <w:sz w:val="32"/>
          <w:szCs w:val="32"/>
        </w:rPr>
        <w:t>:</w:t>
      </w:r>
      <w:r>
        <w:rPr>
          <w:rStyle w:val="17"/>
          <w:rFonts w:hint="eastAsia" w:ascii="仿宋" w:hAnsi="仿宋" w:eastAsia="仿宋"/>
          <w:b w:val="0"/>
          <w:bCs/>
          <w:sz w:val="32"/>
          <w:szCs w:val="32"/>
        </w:rPr>
        <w:t>支出决算为</w:t>
      </w:r>
      <w:r>
        <w:rPr>
          <w:rFonts w:hint="eastAsia" w:ascii="仿宋" w:hAnsi="仿宋" w:eastAsia="仿宋"/>
          <w:b/>
          <w:sz w:val="32"/>
          <w:szCs w:val="32"/>
          <w:lang w:val="en-US" w:eastAsia="zh-CN"/>
        </w:rPr>
        <w:t>956.26</w:t>
      </w:r>
      <w:r>
        <w:rPr>
          <w:rStyle w:val="17"/>
          <w:rFonts w:hint="eastAsia" w:ascii="仿宋" w:hAnsi="仿宋" w:eastAsia="仿宋"/>
          <w:b w:val="0"/>
          <w:bCs/>
          <w:sz w:val="32"/>
          <w:szCs w:val="32"/>
        </w:rPr>
        <w:t>万元，完成预算</w:t>
      </w:r>
      <w:r>
        <w:rPr>
          <w:rFonts w:hint="eastAsia" w:ascii="仿宋" w:hAnsi="仿宋" w:eastAsia="仿宋"/>
          <w:b/>
          <w:sz w:val="32"/>
          <w:szCs w:val="32"/>
          <w:lang w:val="en-US" w:eastAsia="zh-CN"/>
        </w:rPr>
        <w:t>100</w:t>
      </w:r>
      <w:r>
        <w:rPr>
          <w:rFonts w:hint="eastAsia" w:ascii="仿宋" w:hAnsi="仿宋" w:eastAsia="仿宋"/>
          <w:b/>
          <w:sz w:val="32"/>
          <w:szCs w:val="32"/>
        </w:rPr>
        <w:t>%</w:t>
      </w:r>
      <w:r>
        <w:rPr>
          <w:rStyle w:val="17"/>
          <w:rFonts w:hint="eastAsia" w:ascii="仿宋" w:hAnsi="仿宋" w:eastAsia="仿宋"/>
          <w:b w:val="0"/>
          <w:bCs/>
          <w:sz w:val="32"/>
          <w:szCs w:val="32"/>
        </w:rPr>
        <w:t>。</w:t>
      </w:r>
    </w:p>
    <w:p w14:paraId="71C7BE7F">
      <w:pPr>
        <w:pStyle w:val="13"/>
        <w:shd w:val="clear" w:color="auto" w:fill="FFFFFF"/>
        <w:spacing w:before="93" w:beforeAutospacing="0" w:after="136" w:afterAutospacing="0" w:line="27" w:lineRule="atLeast"/>
        <w:ind w:firstLine="581" w:firstLineChars="181"/>
        <w:rPr>
          <w:rStyle w:val="17"/>
          <w:rFonts w:hint="eastAsia" w:ascii="仿宋" w:hAnsi="仿宋" w:eastAsia="仿宋" w:cs="仿宋_GB2312"/>
          <w:b w:val="0"/>
          <w:bCs/>
          <w:sz w:val="32"/>
          <w:szCs w:val="32"/>
          <w:shd w:val="clear" w:color="auto" w:fill="FFFFFF"/>
          <w:lang w:eastAsia="zh-CN"/>
        </w:rPr>
      </w:pPr>
      <w:r>
        <w:rPr>
          <w:rStyle w:val="17"/>
          <w:rFonts w:hint="eastAsia" w:ascii="仿宋" w:hAnsi="仿宋" w:eastAsia="仿宋" w:cstheme="minorBidi"/>
          <w:bCs/>
          <w:kern w:val="2"/>
          <w:sz w:val="32"/>
          <w:szCs w:val="32"/>
          <w:lang w:val="en-US" w:eastAsia="zh-CN" w:bidi="ar-SA"/>
        </w:rPr>
        <w:t xml:space="preserve">9.卫生健康支出（类）公共卫生（款）重大公共卫生服务（项）: </w:t>
      </w:r>
      <w:r>
        <w:rPr>
          <w:rStyle w:val="17"/>
          <w:rFonts w:hint="eastAsia" w:ascii="仿宋" w:hAnsi="仿宋" w:eastAsia="仿宋" w:cs="仿宋_GB2312"/>
          <w:b w:val="0"/>
          <w:bCs/>
          <w:sz w:val="32"/>
          <w:szCs w:val="32"/>
          <w:shd w:val="clear" w:color="auto" w:fill="FFFFFF"/>
          <w:lang w:eastAsia="zh-CN"/>
        </w:rPr>
        <w:t>支出决算为</w:t>
      </w:r>
      <w:r>
        <w:rPr>
          <w:rFonts w:hint="eastAsia" w:ascii="仿宋" w:hAnsi="仿宋" w:eastAsia="仿宋" w:cs="Times New Roman"/>
          <w:b/>
          <w:kern w:val="2"/>
          <w:sz w:val="32"/>
          <w:szCs w:val="32"/>
          <w:lang w:val="en-US" w:eastAsia="zh-CN" w:bidi="ar-SA"/>
        </w:rPr>
        <w:t>40.66</w:t>
      </w:r>
      <w:r>
        <w:rPr>
          <w:rStyle w:val="17"/>
          <w:rFonts w:hint="eastAsia" w:ascii="仿宋" w:hAnsi="仿宋" w:eastAsia="仿宋" w:cs="仿宋_GB2312"/>
          <w:b w:val="0"/>
          <w:bCs/>
          <w:sz w:val="32"/>
          <w:szCs w:val="32"/>
          <w:shd w:val="clear" w:color="auto" w:fill="FFFFFF"/>
          <w:lang w:eastAsia="zh-CN"/>
        </w:rPr>
        <w:t>万元，完成预算</w:t>
      </w:r>
      <w:r>
        <w:rPr>
          <w:rFonts w:hint="eastAsia" w:ascii="仿宋" w:hAnsi="仿宋" w:eastAsia="仿宋" w:cs="Times New Roman"/>
          <w:b/>
          <w:kern w:val="2"/>
          <w:sz w:val="32"/>
          <w:szCs w:val="32"/>
          <w:lang w:val="en-US" w:eastAsia="zh-CN" w:bidi="ar-SA"/>
        </w:rPr>
        <w:t>100%</w:t>
      </w:r>
      <w:r>
        <w:rPr>
          <w:rStyle w:val="17"/>
          <w:rFonts w:hint="eastAsia" w:ascii="仿宋" w:hAnsi="仿宋" w:eastAsia="仿宋" w:cs="仿宋_GB2312"/>
          <w:b w:val="0"/>
          <w:bCs/>
          <w:sz w:val="32"/>
          <w:szCs w:val="32"/>
          <w:shd w:val="clear" w:color="auto" w:fill="FFFFFF"/>
          <w:lang w:eastAsia="zh-CN"/>
        </w:rPr>
        <w:t xml:space="preserve">。 </w:t>
      </w:r>
    </w:p>
    <w:p w14:paraId="6A9A6AE0">
      <w:pPr>
        <w:pStyle w:val="13"/>
        <w:shd w:val="clear" w:color="auto" w:fill="FFFFFF"/>
        <w:spacing w:before="93" w:beforeAutospacing="0" w:after="136" w:afterAutospacing="0" w:line="27" w:lineRule="atLeast"/>
        <w:ind w:firstLine="581" w:firstLineChars="181"/>
        <w:rPr>
          <w:rStyle w:val="17"/>
          <w:rFonts w:hint="eastAsia" w:ascii="仿宋" w:hAnsi="仿宋" w:eastAsia="仿宋" w:cs="仿宋_GB2312"/>
          <w:b w:val="0"/>
          <w:bCs/>
          <w:sz w:val="32"/>
          <w:szCs w:val="32"/>
          <w:shd w:val="clear" w:color="auto" w:fill="FFFFFF"/>
          <w:lang w:eastAsia="zh-CN"/>
        </w:rPr>
      </w:pPr>
      <w:r>
        <w:rPr>
          <w:rStyle w:val="17"/>
          <w:rFonts w:hint="eastAsia" w:ascii="仿宋" w:hAnsi="仿宋" w:eastAsia="仿宋" w:cstheme="minorBidi"/>
          <w:bCs/>
          <w:kern w:val="2"/>
          <w:sz w:val="32"/>
          <w:szCs w:val="32"/>
          <w:lang w:val="en-US" w:eastAsia="zh-CN" w:bidi="ar-SA"/>
        </w:rPr>
        <w:t xml:space="preserve">10.卫生健康支出（类）公共卫生（款）突发公共卫生事件应急处理（项）: </w:t>
      </w:r>
      <w:r>
        <w:rPr>
          <w:rStyle w:val="17"/>
          <w:rFonts w:hint="eastAsia" w:ascii="仿宋" w:hAnsi="仿宋" w:eastAsia="仿宋" w:cs="仿宋_GB2312"/>
          <w:b w:val="0"/>
          <w:bCs/>
          <w:sz w:val="32"/>
          <w:szCs w:val="32"/>
          <w:shd w:val="clear" w:color="auto" w:fill="FFFFFF"/>
          <w:lang w:eastAsia="zh-CN"/>
        </w:rPr>
        <w:t>支出决算为</w:t>
      </w:r>
      <w:r>
        <w:rPr>
          <w:rFonts w:hint="eastAsia" w:ascii="仿宋" w:hAnsi="仿宋" w:eastAsia="仿宋" w:cs="Times New Roman"/>
          <w:b/>
          <w:kern w:val="2"/>
          <w:sz w:val="32"/>
          <w:szCs w:val="32"/>
          <w:lang w:val="en-US" w:eastAsia="zh-CN" w:bidi="ar-SA"/>
        </w:rPr>
        <w:t>50.83</w:t>
      </w:r>
      <w:r>
        <w:rPr>
          <w:rStyle w:val="17"/>
          <w:rFonts w:hint="eastAsia" w:ascii="仿宋" w:hAnsi="仿宋" w:eastAsia="仿宋" w:cs="仿宋_GB2312"/>
          <w:b w:val="0"/>
          <w:bCs/>
          <w:sz w:val="32"/>
          <w:szCs w:val="32"/>
          <w:shd w:val="clear" w:color="auto" w:fill="FFFFFF"/>
          <w:lang w:eastAsia="zh-CN"/>
        </w:rPr>
        <w:t>万元，完成预算的</w:t>
      </w:r>
      <w:r>
        <w:rPr>
          <w:rFonts w:hint="eastAsia" w:ascii="仿宋" w:hAnsi="仿宋" w:eastAsia="仿宋" w:cs="Times New Roman"/>
          <w:b/>
          <w:kern w:val="2"/>
          <w:sz w:val="32"/>
          <w:szCs w:val="32"/>
          <w:lang w:val="en-US" w:eastAsia="zh-CN" w:bidi="ar-SA"/>
        </w:rPr>
        <w:t>100%</w:t>
      </w:r>
      <w:r>
        <w:rPr>
          <w:rStyle w:val="17"/>
          <w:rFonts w:hint="eastAsia" w:ascii="仿宋" w:hAnsi="仿宋" w:eastAsia="仿宋" w:cs="仿宋_GB2312"/>
          <w:b w:val="0"/>
          <w:bCs/>
          <w:sz w:val="32"/>
          <w:szCs w:val="32"/>
          <w:shd w:val="clear" w:color="auto" w:fill="FFFFFF"/>
          <w:lang w:eastAsia="zh-CN"/>
        </w:rPr>
        <w:t>。</w:t>
      </w:r>
    </w:p>
    <w:p w14:paraId="1A9E91C1">
      <w:pPr>
        <w:pStyle w:val="13"/>
        <w:shd w:val="clear" w:color="auto" w:fill="FFFFFF"/>
        <w:spacing w:before="93" w:beforeAutospacing="0" w:after="136" w:afterAutospacing="0" w:line="27" w:lineRule="atLeast"/>
        <w:ind w:firstLine="581" w:firstLineChars="181"/>
        <w:rPr>
          <w:rStyle w:val="17"/>
          <w:rFonts w:hint="eastAsia" w:ascii="仿宋" w:hAnsi="仿宋" w:eastAsia="仿宋" w:cstheme="minorBidi"/>
          <w:bCs/>
          <w:kern w:val="2"/>
          <w:sz w:val="32"/>
          <w:szCs w:val="32"/>
          <w:lang w:val="en-US" w:eastAsia="zh-CN" w:bidi="ar-SA"/>
        </w:rPr>
      </w:pPr>
      <w:r>
        <w:rPr>
          <w:rStyle w:val="17"/>
          <w:rFonts w:hint="eastAsia" w:ascii="仿宋" w:hAnsi="仿宋" w:eastAsia="仿宋" w:cstheme="minorBidi"/>
          <w:bCs/>
          <w:kern w:val="2"/>
          <w:sz w:val="32"/>
          <w:szCs w:val="32"/>
          <w:lang w:val="en-US" w:eastAsia="zh-CN" w:bidi="ar-SA"/>
        </w:rPr>
        <w:t xml:space="preserve">11.卫生健康支出（类）公共卫生（款）其他公共卫生支出（项）: </w:t>
      </w:r>
      <w:r>
        <w:rPr>
          <w:rStyle w:val="17"/>
          <w:rFonts w:hint="eastAsia" w:ascii="仿宋" w:hAnsi="仿宋" w:eastAsia="仿宋" w:cs="仿宋_GB2312"/>
          <w:b w:val="0"/>
          <w:bCs/>
          <w:sz w:val="32"/>
          <w:szCs w:val="32"/>
          <w:shd w:val="clear" w:color="auto" w:fill="FFFFFF"/>
          <w:lang w:eastAsia="zh-CN"/>
        </w:rPr>
        <w:t>支出决算为</w:t>
      </w:r>
      <w:r>
        <w:rPr>
          <w:rFonts w:hint="eastAsia" w:ascii="仿宋" w:hAnsi="仿宋" w:eastAsia="仿宋" w:cs="Times New Roman"/>
          <w:b/>
          <w:kern w:val="2"/>
          <w:sz w:val="32"/>
          <w:szCs w:val="32"/>
          <w:lang w:val="en-US" w:eastAsia="zh-CN" w:bidi="ar-SA"/>
        </w:rPr>
        <w:t>314.40</w:t>
      </w:r>
      <w:r>
        <w:rPr>
          <w:rStyle w:val="17"/>
          <w:rFonts w:hint="eastAsia" w:ascii="仿宋" w:hAnsi="仿宋" w:eastAsia="仿宋" w:cs="仿宋_GB2312"/>
          <w:b w:val="0"/>
          <w:bCs/>
          <w:sz w:val="32"/>
          <w:szCs w:val="32"/>
          <w:shd w:val="clear" w:color="auto" w:fill="FFFFFF"/>
          <w:lang w:eastAsia="zh-CN"/>
        </w:rPr>
        <w:t>万元，完成预算的</w:t>
      </w:r>
      <w:r>
        <w:rPr>
          <w:rFonts w:hint="eastAsia" w:ascii="仿宋" w:hAnsi="仿宋" w:eastAsia="仿宋" w:cs="Times New Roman"/>
          <w:b/>
          <w:kern w:val="2"/>
          <w:sz w:val="32"/>
          <w:szCs w:val="32"/>
          <w:lang w:val="en-US" w:eastAsia="zh-CN" w:bidi="ar-SA"/>
        </w:rPr>
        <w:t>100%</w:t>
      </w:r>
      <w:r>
        <w:rPr>
          <w:rStyle w:val="17"/>
          <w:rFonts w:hint="eastAsia" w:ascii="仿宋" w:hAnsi="仿宋" w:eastAsia="仿宋" w:cs="仿宋_GB2312"/>
          <w:b w:val="0"/>
          <w:bCs/>
          <w:sz w:val="32"/>
          <w:szCs w:val="32"/>
          <w:shd w:val="clear" w:color="auto" w:fill="FFFFFF"/>
          <w:lang w:eastAsia="zh-CN"/>
        </w:rPr>
        <w:t>。</w:t>
      </w:r>
    </w:p>
    <w:p w14:paraId="2A1CED39">
      <w:pPr>
        <w:pStyle w:val="13"/>
        <w:shd w:val="clear" w:color="auto" w:fill="FFFFFF"/>
        <w:spacing w:before="93" w:beforeAutospacing="0" w:after="136" w:afterAutospacing="0" w:line="27" w:lineRule="atLeast"/>
        <w:ind w:firstLine="581" w:firstLineChars="181"/>
        <w:rPr>
          <w:rStyle w:val="17"/>
          <w:rFonts w:hint="eastAsia" w:ascii="仿宋" w:hAnsi="仿宋" w:eastAsia="仿宋" w:cs="仿宋_GB2312"/>
          <w:b w:val="0"/>
          <w:bCs/>
          <w:sz w:val="32"/>
          <w:szCs w:val="32"/>
          <w:shd w:val="clear" w:color="auto" w:fill="FFFFFF"/>
          <w:lang w:eastAsia="zh-CN"/>
        </w:rPr>
      </w:pPr>
      <w:r>
        <w:rPr>
          <w:rStyle w:val="17"/>
          <w:rFonts w:hint="eastAsia" w:ascii="仿宋" w:hAnsi="仿宋" w:eastAsia="仿宋" w:cstheme="minorBidi"/>
          <w:bCs/>
          <w:kern w:val="2"/>
          <w:sz w:val="32"/>
          <w:szCs w:val="32"/>
          <w:lang w:val="en-US" w:eastAsia="zh-CN" w:bidi="ar-SA"/>
        </w:rPr>
        <w:t>12.卫生健康支出（类）中医药（款）中医（民族医）药专项（项）:</w:t>
      </w:r>
      <w:r>
        <w:rPr>
          <w:rStyle w:val="17"/>
          <w:rFonts w:hint="eastAsia" w:ascii="仿宋" w:hAnsi="仿宋" w:eastAsia="仿宋" w:cs="仿宋_GB2312"/>
          <w:b w:val="0"/>
          <w:bCs/>
          <w:sz w:val="32"/>
          <w:szCs w:val="32"/>
          <w:shd w:val="clear" w:color="auto" w:fill="FFFFFF"/>
          <w:lang w:eastAsia="zh-CN"/>
        </w:rPr>
        <w:t xml:space="preserve"> 支出决算为</w:t>
      </w:r>
      <w:r>
        <w:rPr>
          <w:rFonts w:hint="eastAsia" w:ascii="仿宋" w:hAnsi="仿宋" w:eastAsia="仿宋" w:cs="Times New Roman"/>
          <w:b/>
          <w:kern w:val="2"/>
          <w:sz w:val="32"/>
          <w:szCs w:val="32"/>
          <w:lang w:val="en-US" w:eastAsia="zh-CN" w:bidi="ar-SA"/>
        </w:rPr>
        <w:t>50</w:t>
      </w:r>
      <w:r>
        <w:rPr>
          <w:rStyle w:val="17"/>
          <w:rFonts w:hint="eastAsia" w:ascii="仿宋" w:hAnsi="仿宋" w:eastAsia="仿宋" w:cs="仿宋_GB2312"/>
          <w:b w:val="0"/>
          <w:bCs/>
          <w:sz w:val="32"/>
          <w:szCs w:val="32"/>
          <w:shd w:val="clear" w:color="auto" w:fill="FFFFFF"/>
          <w:lang w:eastAsia="zh-CN"/>
        </w:rPr>
        <w:t>万元，完成预算的</w:t>
      </w:r>
      <w:r>
        <w:rPr>
          <w:rFonts w:hint="eastAsia" w:ascii="仿宋" w:hAnsi="仿宋" w:eastAsia="仿宋" w:cs="Times New Roman"/>
          <w:b/>
          <w:kern w:val="2"/>
          <w:sz w:val="32"/>
          <w:szCs w:val="32"/>
          <w:lang w:val="en-US" w:eastAsia="zh-CN" w:bidi="ar-SA"/>
        </w:rPr>
        <w:t>100%</w:t>
      </w:r>
      <w:r>
        <w:rPr>
          <w:rStyle w:val="17"/>
          <w:rFonts w:hint="eastAsia" w:ascii="仿宋" w:hAnsi="仿宋" w:eastAsia="仿宋" w:cs="仿宋_GB2312"/>
          <w:b w:val="0"/>
          <w:bCs/>
          <w:sz w:val="32"/>
          <w:szCs w:val="32"/>
          <w:shd w:val="clear" w:color="auto" w:fill="FFFFFF"/>
          <w:lang w:eastAsia="zh-CN"/>
        </w:rPr>
        <w:t>。</w:t>
      </w:r>
    </w:p>
    <w:p w14:paraId="420CB9AC">
      <w:pPr>
        <w:pStyle w:val="13"/>
        <w:shd w:val="clear" w:color="auto" w:fill="FFFFFF"/>
        <w:spacing w:before="93" w:beforeAutospacing="0" w:after="136" w:afterAutospacing="0" w:line="27" w:lineRule="atLeast"/>
        <w:ind w:firstLine="581" w:firstLineChars="181"/>
        <w:rPr>
          <w:rStyle w:val="17"/>
          <w:rFonts w:hint="eastAsia" w:ascii="仿宋" w:hAnsi="仿宋" w:eastAsia="仿宋" w:cs="仿宋_GB2312"/>
          <w:b w:val="0"/>
          <w:bCs/>
          <w:sz w:val="32"/>
          <w:szCs w:val="32"/>
          <w:shd w:val="clear" w:color="auto" w:fill="FFFFFF"/>
          <w:lang w:eastAsia="zh-CN"/>
        </w:rPr>
      </w:pPr>
      <w:r>
        <w:rPr>
          <w:rStyle w:val="17"/>
          <w:rFonts w:hint="eastAsia" w:ascii="仿宋" w:hAnsi="仿宋" w:eastAsia="仿宋" w:cstheme="minorBidi"/>
          <w:bCs/>
          <w:kern w:val="2"/>
          <w:sz w:val="32"/>
          <w:szCs w:val="32"/>
          <w:lang w:val="en-US" w:eastAsia="zh-CN" w:bidi="ar-SA"/>
        </w:rPr>
        <w:t>13.卫生健康支出（类）行政事业单位医疗（款）其他行政事业单位医疗支出（项）:</w:t>
      </w:r>
      <w:r>
        <w:rPr>
          <w:rStyle w:val="17"/>
          <w:rFonts w:hint="eastAsia" w:ascii="仿宋" w:hAnsi="仿宋" w:eastAsia="仿宋" w:cs="仿宋_GB2312"/>
          <w:b w:val="0"/>
          <w:bCs/>
          <w:sz w:val="32"/>
          <w:szCs w:val="32"/>
          <w:shd w:val="clear" w:color="auto" w:fill="FFFFFF"/>
          <w:lang w:eastAsia="zh-CN"/>
        </w:rPr>
        <w:t xml:space="preserve"> 支出决算为</w:t>
      </w:r>
      <w:r>
        <w:rPr>
          <w:rFonts w:hint="eastAsia" w:ascii="仿宋" w:hAnsi="仿宋" w:eastAsia="仿宋" w:cs="Times New Roman"/>
          <w:b/>
          <w:kern w:val="2"/>
          <w:sz w:val="32"/>
          <w:szCs w:val="32"/>
          <w:lang w:val="en-US" w:eastAsia="zh-CN" w:bidi="ar-SA"/>
        </w:rPr>
        <w:t>311.40</w:t>
      </w:r>
      <w:r>
        <w:rPr>
          <w:rStyle w:val="17"/>
          <w:rFonts w:hint="eastAsia" w:ascii="仿宋" w:hAnsi="仿宋" w:eastAsia="仿宋" w:cs="仿宋_GB2312"/>
          <w:b w:val="0"/>
          <w:bCs/>
          <w:sz w:val="32"/>
          <w:szCs w:val="32"/>
          <w:shd w:val="clear" w:color="auto" w:fill="FFFFFF"/>
          <w:lang w:eastAsia="zh-CN"/>
        </w:rPr>
        <w:t>万元，完成预算的</w:t>
      </w:r>
      <w:r>
        <w:rPr>
          <w:rFonts w:hint="eastAsia" w:ascii="仿宋" w:hAnsi="仿宋" w:eastAsia="仿宋" w:cs="Times New Roman"/>
          <w:b/>
          <w:kern w:val="2"/>
          <w:sz w:val="32"/>
          <w:szCs w:val="32"/>
          <w:lang w:val="en-US" w:eastAsia="zh-CN" w:bidi="ar-SA"/>
        </w:rPr>
        <w:t>100%</w:t>
      </w:r>
      <w:r>
        <w:rPr>
          <w:rStyle w:val="17"/>
          <w:rFonts w:hint="eastAsia" w:ascii="仿宋" w:hAnsi="仿宋" w:eastAsia="仿宋" w:cs="仿宋_GB2312"/>
          <w:b w:val="0"/>
          <w:bCs/>
          <w:sz w:val="32"/>
          <w:szCs w:val="32"/>
          <w:shd w:val="clear" w:color="auto" w:fill="FFFFFF"/>
          <w:lang w:eastAsia="zh-CN"/>
        </w:rPr>
        <w:t>。</w:t>
      </w:r>
    </w:p>
    <w:p w14:paraId="45A9881B">
      <w:pPr>
        <w:pStyle w:val="13"/>
        <w:shd w:val="clear" w:color="auto" w:fill="FFFFFF"/>
        <w:spacing w:before="93" w:beforeAutospacing="0" w:after="136" w:afterAutospacing="0" w:line="27" w:lineRule="atLeast"/>
        <w:ind w:firstLine="581" w:firstLineChars="181"/>
        <w:rPr>
          <w:rStyle w:val="17"/>
          <w:rFonts w:hint="eastAsia" w:ascii="仿宋" w:hAnsi="仿宋" w:eastAsia="仿宋" w:cs="仿宋_GB2312"/>
          <w:b w:val="0"/>
          <w:bCs/>
          <w:sz w:val="32"/>
          <w:szCs w:val="32"/>
          <w:shd w:val="clear" w:color="auto" w:fill="FFFFFF"/>
          <w:lang w:eastAsia="zh-CN"/>
        </w:rPr>
      </w:pPr>
      <w:r>
        <w:rPr>
          <w:rStyle w:val="17"/>
          <w:rFonts w:hint="eastAsia" w:ascii="仿宋" w:hAnsi="仿宋" w:eastAsia="仿宋" w:cstheme="minorBidi"/>
          <w:bCs/>
          <w:kern w:val="2"/>
          <w:sz w:val="32"/>
          <w:szCs w:val="32"/>
          <w:lang w:val="en-US" w:eastAsia="zh-CN" w:bidi="ar-SA"/>
        </w:rPr>
        <w:t xml:space="preserve">14.卫生健康支出（类）其他卫生健康支出（款）其他卫生健康支出（项）: </w:t>
      </w:r>
      <w:r>
        <w:rPr>
          <w:rStyle w:val="17"/>
          <w:rFonts w:hint="eastAsia" w:ascii="仿宋" w:hAnsi="仿宋" w:eastAsia="仿宋" w:cs="仿宋_GB2312"/>
          <w:b w:val="0"/>
          <w:bCs/>
          <w:sz w:val="32"/>
          <w:szCs w:val="32"/>
          <w:shd w:val="clear" w:color="auto" w:fill="FFFFFF"/>
          <w:lang w:eastAsia="zh-CN"/>
        </w:rPr>
        <w:t>支出决算为</w:t>
      </w:r>
      <w:r>
        <w:rPr>
          <w:rFonts w:hint="eastAsia" w:ascii="仿宋" w:hAnsi="仿宋" w:eastAsia="仿宋" w:cs="Times New Roman"/>
          <w:b/>
          <w:kern w:val="2"/>
          <w:sz w:val="32"/>
          <w:szCs w:val="32"/>
          <w:lang w:val="en-US" w:eastAsia="zh-CN" w:bidi="ar-SA"/>
        </w:rPr>
        <w:t>4714.82</w:t>
      </w:r>
      <w:r>
        <w:rPr>
          <w:rStyle w:val="17"/>
          <w:rFonts w:hint="eastAsia" w:ascii="仿宋" w:hAnsi="仿宋" w:eastAsia="仿宋" w:cs="仿宋_GB2312"/>
          <w:b w:val="0"/>
          <w:bCs/>
          <w:sz w:val="32"/>
          <w:szCs w:val="32"/>
          <w:shd w:val="clear" w:color="auto" w:fill="FFFFFF"/>
          <w:lang w:eastAsia="zh-CN"/>
        </w:rPr>
        <w:t>万元，完成预算的</w:t>
      </w:r>
      <w:r>
        <w:rPr>
          <w:rFonts w:hint="eastAsia" w:ascii="仿宋" w:hAnsi="仿宋" w:eastAsia="仿宋" w:cs="Times New Roman"/>
          <w:b/>
          <w:kern w:val="2"/>
          <w:sz w:val="32"/>
          <w:szCs w:val="32"/>
          <w:lang w:val="en-US" w:eastAsia="zh-CN" w:bidi="ar-SA"/>
        </w:rPr>
        <w:t>100%</w:t>
      </w:r>
      <w:r>
        <w:rPr>
          <w:rStyle w:val="17"/>
          <w:rFonts w:hint="eastAsia" w:ascii="仿宋" w:hAnsi="仿宋" w:eastAsia="仿宋" w:cs="仿宋_GB2312"/>
          <w:b w:val="0"/>
          <w:bCs/>
          <w:sz w:val="32"/>
          <w:szCs w:val="32"/>
          <w:shd w:val="clear" w:color="auto" w:fill="FFFFFF"/>
          <w:lang w:eastAsia="zh-CN"/>
        </w:rPr>
        <w:t>。</w:t>
      </w:r>
    </w:p>
    <w:p w14:paraId="12126F58">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1-1表和财决08表，仅罗列本单位涉及的全部功能分类科目，至项级。上述“预算”口径为全年预算数。增减变动原因为决算数</w:t>
      </w:r>
      <w:r>
        <w:rPr>
          <w:rFonts w:ascii="仿宋" w:hAnsi="仿宋" w:eastAsia="仿宋"/>
          <w:b/>
          <w:sz w:val="32"/>
          <w:szCs w:val="32"/>
        </w:rPr>
        <w:t>&lt;</w:t>
      </w:r>
      <w:r>
        <w:rPr>
          <w:rFonts w:hint="eastAsia" w:ascii="仿宋" w:hAnsi="仿宋" w:eastAsia="仿宋"/>
          <w:b/>
          <w:sz w:val="32"/>
          <w:szCs w:val="32"/>
        </w:rPr>
        <w:t>项级</w:t>
      </w:r>
      <w:r>
        <w:rPr>
          <w:rFonts w:ascii="仿宋" w:hAnsi="仿宋" w:eastAsia="仿宋"/>
          <w:b/>
          <w:sz w:val="32"/>
          <w:szCs w:val="32"/>
        </w:rPr>
        <w:t>&gt;</w:t>
      </w:r>
      <w:r>
        <w:rPr>
          <w:rFonts w:hint="eastAsia" w:ascii="仿宋" w:hAnsi="仿宋" w:eastAsia="仿宋"/>
          <w:b/>
          <w:sz w:val="32"/>
          <w:szCs w:val="32"/>
        </w:rPr>
        <w:t>和全年预算数</w:t>
      </w:r>
      <w:r>
        <w:rPr>
          <w:rFonts w:ascii="仿宋" w:hAnsi="仿宋" w:eastAsia="仿宋"/>
          <w:b/>
          <w:sz w:val="32"/>
          <w:szCs w:val="32"/>
        </w:rPr>
        <w:t>&lt;</w:t>
      </w:r>
      <w:r>
        <w:rPr>
          <w:rFonts w:hint="eastAsia" w:ascii="仿宋" w:hAnsi="仿宋" w:eastAsia="仿宋"/>
          <w:b/>
          <w:sz w:val="32"/>
          <w:szCs w:val="32"/>
        </w:rPr>
        <w:t>项级</w:t>
      </w:r>
      <w:r>
        <w:rPr>
          <w:rFonts w:ascii="仿宋" w:hAnsi="仿宋" w:eastAsia="仿宋"/>
          <w:b/>
          <w:sz w:val="32"/>
          <w:szCs w:val="32"/>
        </w:rPr>
        <w:t>&gt;</w:t>
      </w:r>
      <w:r>
        <w:rPr>
          <w:rFonts w:hint="eastAsia" w:ascii="仿宋" w:hAnsi="仿宋" w:eastAsia="仿宋"/>
          <w:b/>
          <w:sz w:val="32"/>
          <w:szCs w:val="32"/>
        </w:rPr>
        <w:t>比较，与预算数持平可以不写原因。）</w:t>
      </w:r>
    </w:p>
    <w:p w14:paraId="54BAAD59">
      <w:pPr>
        <w:spacing w:line="600" w:lineRule="exact"/>
        <w:ind w:firstLine="640"/>
        <w:rPr>
          <w:rFonts w:ascii="仿宋" w:hAnsi="仿宋" w:eastAsia="仿宋"/>
          <w:b/>
          <w:sz w:val="32"/>
          <w:szCs w:val="32"/>
        </w:rPr>
      </w:pPr>
    </w:p>
    <w:p w14:paraId="378AABA7">
      <w:pPr>
        <w:tabs>
          <w:tab w:val="right" w:pos="8306"/>
        </w:tabs>
        <w:spacing w:line="600" w:lineRule="exact"/>
        <w:ind w:firstLine="640"/>
        <w:outlineLvl w:val="1"/>
        <w:rPr>
          <w:rStyle w:val="29"/>
        </w:rPr>
      </w:pPr>
      <w:bookmarkStart w:id="52" w:name="_Toc15396608"/>
      <w:bookmarkStart w:id="53" w:name="_Toc15377214"/>
      <w:bookmarkStart w:id="54" w:name="_Toc856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9"/>
          <w:rFonts w:hint="eastAsia" w:ascii="黑体" w:hAnsi="黑体" w:eastAsia="黑体"/>
          <w:b w:val="0"/>
        </w:rPr>
        <w:t>般公共预算财政拨款基本支出决算情况说明</w:t>
      </w:r>
      <w:bookmarkEnd w:id="52"/>
      <w:bookmarkEnd w:id="53"/>
      <w:bookmarkEnd w:id="54"/>
      <w:r>
        <w:rPr>
          <w:rStyle w:val="29"/>
          <w:rFonts w:ascii="黑体" w:hAnsi="黑体" w:eastAsia="黑体"/>
          <w:b w:val="0"/>
        </w:rPr>
        <w:tab/>
      </w:r>
    </w:p>
    <w:p w14:paraId="7C6D5C8A">
      <w:pPr>
        <w:spacing w:line="600" w:lineRule="exact"/>
        <w:ind w:firstLine="645"/>
        <w:rPr>
          <w:rFonts w:ascii="仿宋" w:hAnsi="仿宋" w:eastAsia="仿宋"/>
          <w:sz w:val="32"/>
          <w:szCs w:val="32"/>
        </w:rPr>
      </w:pPr>
      <w:r>
        <w:rPr>
          <w:rFonts w:hint="eastAsia" w:ascii="仿宋" w:hAnsi="仿宋" w:eastAsia="仿宋"/>
          <w:sz w:val="32"/>
          <w:szCs w:val="32"/>
        </w:rPr>
        <w:t>2023年度一般公共预算财政拨款基本支出</w:t>
      </w:r>
      <w:r>
        <w:rPr>
          <w:rFonts w:ascii="仿宋" w:hAnsi="仿宋" w:eastAsia="仿宋"/>
          <w:b/>
          <w:sz w:val="32"/>
          <w:szCs w:val="32"/>
        </w:rPr>
        <w:t>6005.26</w:t>
      </w:r>
      <w:r>
        <w:rPr>
          <w:rFonts w:hint="eastAsia" w:ascii="仿宋" w:hAnsi="仿宋" w:eastAsia="仿宋"/>
          <w:sz w:val="32"/>
          <w:szCs w:val="32"/>
        </w:rPr>
        <w:t>万元，其中：</w:t>
      </w:r>
    </w:p>
    <w:p w14:paraId="28A37D12">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ascii="仿宋" w:hAnsi="仿宋" w:eastAsia="仿宋"/>
          <w:b/>
          <w:sz w:val="32"/>
          <w:szCs w:val="32"/>
        </w:rPr>
        <w:t>5907.9</w:t>
      </w:r>
      <w:r>
        <w:rPr>
          <w:rFonts w:hint="eastAsia" w:ascii="仿宋" w:hAnsi="仿宋" w:eastAsia="仿宋"/>
          <w:sz w:val="32"/>
          <w:szCs w:val="32"/>
        </w:rPr>
        <w:t>万元，主要包括：基本工资、津贴补贴、绩效工资、机关事业单位基本养老保险缴费、职业年金缴费、其他社会保障缴费、其他工资福利支出、离休费、其他对个人和家庭的补助支出。</w:t>
      </w:r>
      <w:r>
        <w:rPr>
          <w:rFonts w:ascii="仿宋" w:hAnsi="仿宋" w:eastAsia="仿宋"/>
          <w:sz w:val="32"/>
          <w:szCs w:val="32"/>
        </w:rPr>
        <w:br w:type="textWrapping"/>
      </w:r>
      <w:r>
        <w:rPr>
          <w:rFonts w:hint="eastAsia" w:ascii="仿宋" w:hAnsi="仿宋" w:eastAsia="仿宋"/>
          <w:sz w:val="32"/>
          <w:szCs w:val="32"/>
        </w:rPr>
        <w:t>　　公用经费</w:t>
      </w:r>
      <w:r>
        <w:rPr>
          <w:rFonts w:ascii="仿宋" w:hAnsi="仿宋" w:eastAsia="仿宋"/>
          <w:b/>
          <w:sz w:val="32"/>
          <w:szCs w:val="32"/>
        </w:rPr>
        <w:t>97.36</w:t>
      </w:r>
      <w:r>
        <w:rPr>
          <w:rFonts w:hint="eastAsia" w:ascii="仿宋" w:hAnsi="仿宋" w:eastAsia="仿宋"/>
          <w:sz w:val="32"/>
          <w:szCs w:val="32"/>
        </w:rPr>
        <w:t>万元，主要包括：其他商品和服务支出。</w:t>
      </w:r>
    </w:p>
    <w:p w14:paraId="3836083D">
      <w:pPr>
        <w:spacing w:line="600" w:lineRule="exact"/>
        <w:ind w:firstLine="645"/>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7表和财决08-1表，仅罗列本单位实际支出涉及的经济分类科目。）</w:t>
      </w:r>
    </w:p>
    <w:p w14:paraId="66D2C355">
      <w:pPr>
        <w:spacing w:line="600" w:lineRule="exact"/>
        <w:ind w:firstLine="640"/>
        <w:rPr>
          <w:rFonts w:ascii="仿宋" w:hAnsi="仿宋" w:eastAsia="仿宋"/>
          <w:b/>
          <w:sz w:val="32"/>
          <w:szCs w:val="32"/>
        </w:rPr>
      </w:pPr>
    </w:p>
    <w:p w14:paraId="62DE4E94">
      <w:pPr>
        <w:spacing w:line="600" w:lineRule="exact"/>
        <w:ind w:firstLine="640"/>
        <w:outlineLvl w:val="1"/>
        <w:rPr>
          <w:rStyle w:val="29"/>
          <w:rFonts w:ascii="黑体" w:hAnsi="黑体" w:eastAsia="黑体"/>
          <w:b w:val="0"/>
        </w:rPr>
      </w:pPr>
      <w:bookmarkStart w:id="55" w:name="_Toc15377215"/>
      <w:bookmarkStart w:id="56" w:name="_Toc6721"/>
      <w:bookmarkStart w:id="57" w:name="_Toc15396609"/>
      <w:r>
        <w:rPr>
          <w:rFonts w:hint="eastAsia" w:ascii="黑体" w:eastAsia="黑体"/>
          <w:sz w:val="32"/>
          <w:szCs w:val="32"/>
        </w:rPr>
        <w:t>七、</w:t>
      </w:r>
      <w:r>
        <w:rPr>
          <w:rStyle w:val="29"/>
          <w:rFonts w:hint="eastAsia" w:ascii="黑体" w:hAnsi="黑体" w:eastAsia="黑体"/>
          <w:b w:val="0"/>
        </w:rPr>
        <w:t>财政拨款</w:t>
      </w:r>
      <w:r>
        <w:rPr>
          <w:rStyle w:val="29"/>
          <w:rFonts w:hint="eastAsia" w:ascii="黑体" w:hAnsi="黑体" w:eastAsia="黑体"/>
        </w:rPr>
        <w:t>“</w:t>
      </w:r>
      <w:r>
        <w:rPr>
          <w:rStyle w:val="29"/>
          <w:rFonts w:hint="eastAsia" w:ascii="黑体" w:hAnsi="黑体" w:eastAsia="黑体"/>
          <w:b w:val="0"/>
        </w:rPr>
        <w:t>三公”经费支出决算情况说明</w:t>
      </w:r>
      <w:bookmarkEnd w:id="55"/>
      <w:bookmarkEnd w:id="56"/>
      <w:bookmarkEnd w:id="57"/>
    </w:p>
    <w:p w14:paraId="0F4B8CE5">
      <w:pPr>
        <w:spacing w:line="600" w:lineRule="exact"/>
        <w:ind w:firstLine="640"/>
        <w:outlineLvl w:val="2"/>
        <w:rPr>
          <w:rFonts w:ascii="仿宋" w:hAnsi="仿宋" w:eastAsia="仿宋"/>
          <w:b/>
          <w:sz w:val="32"/>
          <w:szCs w:val="32"/>
        </w:rPr>
      </w:pPr>
      <w:bookmarkStart w:id="58" w:name="_Toc15377216"/>
      <w:r>
        <w:rPr>
          <w:rFonts w:hint="eastAsia" w:ascii="仿宋" w:hAnsi="仿宋" w:eastAsia="仿宋"/>
          <w:b/>
          <w:sz w:val="32"/>
          <w:szCs w:val="32"/>
        </w:rPr>
        <w:t>（一）“三公”经费财政拨款支出决算总体情况说明</w:t>
      </w:r>
      <w:bookmarkEnd w:id="58"/>
    </w:p>
    <w:p w14:paraId="395E96F1">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2023年度“三公”经费财政拨款支出决算为</w:t>
      </w:r>
      <w:r>
        <w:rPr>
          <w:rFonts w:ascii="仿宋" w:hAnsi="仿宋" w:eastAsia="仿宋"/>
          <w:b/>
          <w:sz w:val="32"/>
          <w:szCs w:val="32"/>
        </w:rPr>
        <w:t>0</w:t>
      </w:r>
      <w:r>
        <w:rPr>
          <w:rFonts w:hint="eastAsia" w:ascii="仿宋" w:hAnsi="仿宋" w:eastAsia="仿宋"/>
          <w:sz w:val="32"/>
          <w:szCs w:val="32"/>
        </w:rPr>
        <w:t>万元，完成预算</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，我单位不属于“三公”经费财政拨款支出的预算单位。</w:t>
      </w:r>
    </w:p>
    <w:p w14:paraId="2E28DC37">
      <w:pPr>
        <w:spacing w:line="600" w:lineRule="exact"/>
        <w:ind w:firstLine="640"/>
        <w:rPr>
          <w:rFonts w:ascii="仿宋" w:hAnsi="仿宋" w:eastAsia="仿宋"/>
          <w:b/>
          <w:sz w:val="32"/>
          <w:szCs w:val="32"/>
        </w:rPr>
      </w:pPr>
      <w:r>
        <w:rPr>
          <w:rFonts w:hint="eastAsia" w:ascii="仿宋" w:hAnsi="仿宋" w:eastAsia="仿宋"/>
          <w:b/>
          <w:sz w:val="32"/>
          <w:szCs w:val="32"/>
        </w:rPr>
        <w:t>（注：上述“预算”口径为全年预算数，包括一般公共预算和政府性基金预算财政拨款支出决算情况。）</w:t>
      </w:r>
    </w:p>
    <w:p w14:paraId="60ADCA44">
      <w:pPr>
        <w:spacing w:line="600" w:lineRule="exact"/>
        <w:ind w:firstLine="640"/>
        <w:outlineLvl w:val="2"/>
        <w:rPr>
          <w:rFonts w:ascii="仿宋" w:hAnsi="仿宋" w:eastAsia="仿宋"/>
          <w:b/>
          <w:sz w:val="32"/>
          <w:szCs w:val="32"/>
        </w:rPr>
      </w:pPr>
      <w:bookmarkStart w:id="59" w:name="_Toc15377217"/>
      <w:r>
        <w:rPr>
          <w:rFonts w:hint="eastAsia" w:ascii="仿宋" w:hAnsi="仿宋" w:eastAsia="仿宋"/>
          <w:b/>
          <w:sz w:val="32"/>
          <w:szCs w:val="32"/>
        </w:rPr>
        <w:t>（二）“三公”经费财政拨款支出决算具体情况说明</w:t>
      </w:r>
      <w:bookmarkEnd w:id="59"/>
    </w:p>
    <w:p w14:paraId="6C98731E">
      <w:pPr>
        <w:pStyle w:val="2"/>
        <w:jc w:val="left"/>
        <w:rPr>
          <w:rFonts w:hint="eastAsia" w:ascii="仿宋" w:hAnsi="仿宋" w:eastAsia="仿宋"/>
          <w:sz w:val="32"/>
          <w:szCs w:val="32"/>
        </w:rPr>
      </w:pPr>
      <w:r>
        <w:rPr>
          <w:rFonts w:hint="eastAsia" w:ascii="仿宋" w:hAnsi="仿宋" w:eastAsia="仿宋"/>
          <w:sz w:val="32"/>
          <w:szCs w:val="32"/>
        </w:rPr>
        <w:t>2023年度“三公”经费财政拨款支出决算中，因公出国（境）费支出决算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；公务接待费支出决算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。具体情况如下：</w:t>
      </w:r>
    </w:p>
    <w:p w14:paraId="0D823DE3">
      <w:pPr>
        <w:pStyle w:val="2"/>
        <w:jc w:val="center"/>
        <w:rPr>
          <w:rFonts w:ascii="仿宋" w:hAnsi="仿宋" w:eastAsia="仿宋"/>
          <w:sz w:val="32"/>
          <w:szCs w:val="32"/>
        </w:rPr>
      </w:pPr>
      <w:r>
        <w:rPr>
          <w:rFonts w:hint="eastAsia" w:eastAsia="仿宋"/>
          <w:lang w:eastAsia="zh-CN"/>
        </w:rPr>
        <w:drawing>
          <wp:inline distT="0" distB="0" distL="114300" distR="114300">
            <wp:extent cx="4333875" cy="2499360"/>
            <wp:effectExtent l="0" t="0" r="9525" b="15240"/>
            <wp:docPr id="11" name="图片 11" descr="图片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图片8"/>
                    <pic:cNvPicPr>
                      <a:picLocks noChangeAspect="1"/>
                    </pic:cNvPicPr>
                  </pic:nvPicPr>
                  <pic:blipFill>
                    <a:blip r:embed="rId12"/>
                    <a:stretch>
                      <a:fillRect/>
                    </a:stretch>
                  </pic:blipFill>
                  <pic:spPr>
                    <a:xfrm>
                      <a:off x="0" y="0"/>
                      <a:ext cx="4333875" cy="2499360"/>
                    </a:xfrm>
                    <a:prstGeom prst="rect">
                      <a:avLst/>
                    </a:prstGeom>
                  </pic:spPr>
                </pic:pic>
              </a:graphicData>
            </a:graphic>
          </wp:inline>
        </w:drawing>
      </w:r>
    </w:p>
    <w:p w14:paraId="2797C91C">
      <w:pPr>
        <w:spacing w:line="600" w:lineRule="exact"/>
        <w:ind w:firstLine="640"/>
        <w:jc w:val="center"/>
        <w:rPr>
          <w:rFonts w:ascii="仿宋" w:hAnsi="仿宋" w:eastAsia="仿宋"/>
          <w:sz w:val="32"/>
          <w:szCs w:val="32"/>
        </w:rPr>
      </w:pPr>
      <w:r>
        <w:rPr>
          <w:rFonts w:hint="eastAsia" w:ascii="仿宋" w:hAnsi="仿宋" w:eastAsia="仿宋"/>
          <w:sz w:val="32"/>
          <w:szCs w:val="32"/>
        </w:rPr>
        <w:t>（图7：“三公”经费财政拨款支出结构）</w:t>
      </w:r>
    </w:p>
    <w:p w14:paraId="6E5D8155">
      <w:pPr>
        <w:spacing w:line="600" w:lineRule="exact"/>
        <w:ind w:firstLine="640"/>
        <w:rPr>
          <w:rFonts w:ascii="仿宋_GB2312" w:eastAsia="仿宋_GB2312"/>
          <w:b/>
          <w:sz w:val="32"/>
          <w:szCs w:val="32"/>
        </w:rPr>
      </w:pPr>
      <w:bookmarkStart w:id="60" w:name="_Toc15396610"/>
      <w:bookmarkStart w:id="61" w:name="_Toc15377218"/>
      <w:r>
        <w:rPr>
          <w:rFonts w:ascii="仿宋_GB2312" w:eastAsia="仿宋_GB2312"/>
          <w:b/>
          <w:sz w:val="32"/>
          <w:szCs w:val="32"/>
        </w:rPr>
        <w:t>1.</w:t>
      </w:r>
      <w:r>
        <w:rPr>
          <w:rFonts w:hint="eastAsia" w:ascii="仿宋_GB2312" w:eastAsia="仿宋_GB2312"/>
          <w:b/>
          <w:sz w:val="32"/>
          <w:szCs w:val="32"/>
        </w:rPr>
        <w:t>因公出国（境）经费支出</w:t>
      </w:r>
      <w:r>
        <w:rPr>
          <w:rFonts w:ascii="仿宋" w:hAnsi="仿宋" w:eastAsia="仿宋"/>
          <w:b/>
          <w:sz w:val="32"/>
          <w:szCs w:val="32"/>
        </w:rPr>
        <w:t>0</w:t>
      </w:r>
      <w:r>
        <w:rPr>
          <w:rFonts w:hint="eastAsia" w:ascii="仿宋_GB2312" w:eastAsia="仿宋_GB2312"/>
          <w:sz w:val="32"/>
          <w:szCs w:val="32"/>
        </w:rPr>
        <w:t>万元，</w:t>
      </w:r>
      <w:r>
        <w:rPr>
          <w:rStyle w:val="17"/>
          <w:rFonts w:hint="eastAsia" w:ascii="仿宋" w:hAnsi="仿宋" w:eastAsia="仿宋"/>
          <w:b w:val="0"/>
          <w:bCs/>
          <w:sz w:val="32"/>
          <w:szCs w:val="32"/>
        </w:rPr>
        <w:t>完成预算</w:t>
      </w:r>
      <w:r>
        <w:rPr>
          <w:rStyle w:val="17"/>
          <w:rFonts w:ascii="仿宋" w:hAnsi="仿宋" w:eastAsia="仿宋"/>
          <w:bCs/>
          <w:sz w:val="32"/>
          <w:szCs w:val="32"/>
        </w:rPr>
        <w:t>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全年安排因公出国（境）团组</w:t>
      </w:r>
      <w:r>
        <w:rPr>
          <w:rFonts w:ascii="仿宋_GB2312" w:eastAsia="仿宋_GB2312"/>
          <w:b/>
          <w:sz w:val="32"/>
          <w:szCs w:val="32"/>
        </w:rPr>
        <w:t>0</w:t>
      </w:r>
      <w:r>
        <w:rPr>
          <w:rFonts w:hint="eastAsia" w:ascii="仿宋_GB2312" w:eastAsia="仿宋_GB2312"/>
          <w:sz w:val="32"/>
          <w:szCs w:val="32"/>
        </w:rPr>
        <w:t>次，出国（境）</w:t>
      </w:r>
      <w:r>
        <w:rPr>
          <w:rFonts w:ascii="仿宋_GB2312" w:eastAsia="仿宋_GB2312"/>
          <w:b/>
          <w:sz w:val="32"/>
          <w:szCs w:val="32"/>
        </w:rPr>
        <w:t>0</w:t>
      </w:r>
      <w:r>
        <w:rPr>
          <w:rFonts w:hint="eastAsia" w:ascii="仿宋_GB2312" w:eastAsia="仿宋_GB2312"/>
          <w:sz w:val="32"/>
          <w:szCs w:val="32"/>
        </w:rPr>
        <w:t>人。因公出国（境）支出决算</w:t>
      </w:r>
      <w:r>
        <w:rPr>
          <w:rFonts w:hint="eastAsia" w:ascii="仿宋_GB2312" w:eastAsia="仿宋_GB2312"/>
          <w:sz w:val="32"/>
          <w:szCs w:val="32"/>
          <w:lang w:eastAsia="zh-CN"/>
        </w:rPr>
        <w:t>与</w:t>
      </w:r>
      <w:r>
        <w:rPr>
          <w:rFonts w:hint="eastAsia" w:ascii="仿宋_GB2312" w:eastAsia="仿宋_GB2312"/>
          <w:sz w:val="32"/>
          <w:szCs w:val="32"/>
        </w:rPr>
        <w:t>2022年</w:t>
      </w:r>
      <w:r>
        <w:rPr>
          <w:rFonts w:hint="eastAsia" w:ascii="仿宋_GB2312" w:eastAsia="仿宋_GB2312"/>
          <w:sz w:val="32"/>
          <w:szCs w:val="32"/>
          <w:lang w:eastAsia="zh-CN"/>
        </w:rPr>
        <w:t>一致</w:t>
      </w:r>
      <w:r>
        <w:rPr>
          <w:rFonts w:hint="eastAsia" w:ascii="仿宋_GB2312" w:eastAsia="仿宋_GB2312"/>
          <w:sz w:val="32"/>
          <w:szCs w:val="32"/>
        </w:rPr>
        <w:t>。</w:t>
      </w:r>
    </w:p>
    <w:p w14:paraId="3F0422E0">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ascii="仿宋" w:hAnsi="仿宋" w:eastAsia="仿宋"/>
          <w:b/>
          <w:sz w:val="32"/>
          <w:szCs w:val="32"/>
        </w:rPr>
        <w:t>0</w:t>
      </w:r>
      <w:r>
        <w:rPr>
          <w:rFonts w:hint="eastAsia" w:ascii="仿宋_GB2312" w:eastAsia="仿宋_GB2312"/>
          <w:sz w:val="32"/>
          <w:szCs w:val="32"/>
        </w:rPr>
        <w:t>万元,</w:t>
      </w:r>
      <w:r>
        <w:rPr>
          <w:rStyle w:val="17"/>
          <w:rFonts w:hint="eastAsia" w:ascii="仿宋" w:hAnsi="仿宋" w:eastAsia="仿宋"/>
          <w:b w:val="0"/>
          <w:bCs/>
          <w:sz w:val="32"/>
          <w:szCs w:val="32"/>
        </w:rPr>
        <w:t>完成预算</w:t>
      </w:r>
      <w:r>
        <w:rPr>
          <w:rStyle w:val="17"/>
          <w:rFonts w:ascii="仿宋" w:hAnsi="仿宋" w:eastAsia="仿宋"/>
          <w:bCs/>
          <w:sz w:val="32"/>
          <w:szCs w:val="32"/>
        </w:rPr>
        <w:t>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公务用车购置及运行维护费支出决算</w:t>
      </w:r>
      <w:r>
        <w:rPr>
          <w:rFonts w:hint="eastAsia" w:ascii="仿宋_GB2312" w:eastAsia="仿宋_GB2312"/>
          <w:sz w:val="32"/>
          <w:szCs w:val="32"/>
          <w:lang w:eastAsia="zh-CN"/>
        </w:rPr>
        <w:t>与</w:t>
      </w:r>
      <w:r>
        <w:rPr>
          <w:rFonts w:hint="eastAsia" w:ascii="仿宋_GB2312" w:eastAsia="仿宋_GB2312"/>
          <w:sz w:val="32"/>
          <w:szCs w:val="32"/>
        </w:rPr>
        <w:t>2022年</w:t>
      </w:r>
      <w:r>
        <w:rPr>
          <w:rFonts w:hint="eastAsia" w:ascii="仿宋_GB2312" w:eastAsia="仿宋_GB2312"/>
          <w:sz w:val="32"/>
          <w:szCs w:val="32"/>
          <w:lang w:eastAsia="zh-CN"/>
        </w:rPr>
        <w:t>一致</w:t>
      </w:r>
      <w:r>
        <w:rPr>
          <w:rFonts w:hint="eastAsia" w:ascii="仿宋_GB2312" w:eastAsia="仿宋_GB2312"/>
          <w:sz w:val="32"/>
          <w:szCs w:val="32"/>
        </w:rPr>
        <w:t>。</w:t>
      </w:r>
    </w:p>
    <w:p w14:paraId="54F2BD6A">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ascii="仿宋" w:hAnsi="仿宋" w:eastAsia="仿宋"/>
          <w:b/>
          <w:sz w:val="32"/>
          <w:szCs w:val="32"/>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万元。截至2023年</w:t>
      </w:r>
      <w:r>
        <w:rPr>
          <w:rFonts w:ascii="仿宋_GB2312" w:eastAsia="仿宋_GB2312"/>
          <w:sz w:val="32"/>
          <w:szCs w:val="32"/>
        </w:rPr>
        <w:t>12</w:t>
      </w:r>
      <w:r>
        <w:rPr>
          <w:rFonts w:hint="eastAsia" w:ascii="仿宋_GB2312" w:eastAsia="仿宋_GB2312"/>
          <w:sz w:val="32"/>
          <w:szCs w:val="32"/>
        </w:rPr>
        <w:t>月31日，单位共有公务用车</w:t>
      </w:r>
      <w:r>
        <w:rPr>
          <w:rFonts w:hint="eastAsia" w:ascii="仿宋_GB2312" w:eastAsia="仿宋_GB2312"/>
          <w:sz w:val="32"/>
          <w:szCs w:val="32"/>
          <w:lang w:val="en-US" w:eastAsia="zh-CN"/>
        </w:rPr>
        <w:t>31</w:t>
      </w:r>
      <w:r>
        <w:rPr>
          <w:rFonts w:hint="eastAsia" w:ascii="仿宋_GB2312" w:eastAsia="仿宋_GB2312"/>
          <w:sz w:val="32"/>
          <w:szCs w:val="32"/>
        </w:rPr>
        <w:t>辆，其中：轿车</w:t>
      </w:r>
      <w:r>
        <w:rPr>
          <w:rFonts w:hint="eastAsia" w:ascii="仿宋_GB2312" w:eastAsia="仿宋_GB2312"/>
          <w:sz w:val="32"/>
          <w:szCs w:val="32"/>
          <w:lang w:val="en-US" w:eastAsia="zh-CN"/>
        </w:rPr>
        <w:t>6</w:t>
      </w:r>
      <w:r>
        <w:rPr>
          <w:rFonts w:hint="eastAsia" w:ascii="仿宋_GB2312" w:eastAsia="仿宋_GB2312"/>
          <w:sz w:val="32"/>
          <w:szCs w:val="32"/>
        </w:rPr>
        <w:t>辆、越野车</w:t>
      </w:r>
      <w:r>
        <w:rPr>
          <w:rFonts w:hint="eastAsia" w:ascii="仿宋_GB2312" w:eastAsia="仿宋_GB2312"/>
          <w:sz w:val="32"/>
          <w:szCs w:val="32"/>
          <w:lang w:val="en-US" w:eastAsia="zh-CN"/>
        </w:rPr>
        <w:t>2</w:t>
      </w:r>
      <w:r>
        <w:rPr>
          <w:rFonts w:hint="eastAsia" w:ascii="仿宋_GB2312" w:eastAsia="仿宋_GB2312"/>
          <w:sz w:val="32"/>
          <w:szCs w:val="32"/>
        </w:rPr>
        <w:t>辆、载客汽车</w:t>
      </w:r>
      <w:r>
        <w:rPr>
          <w:rFonts w:hint="eastAsia" w:ascii="仿宋_GB2312" w:eastAsia="仿宋_GB2312"/>
          <w:sz w:val="32"/>
          <w:szCs w:val="32"/>
          <w:lang w:val="en-US" w:eastAsia="zh-CN"/>
        </w:rPr>
        <w:t>5</w:t>
      </w:r>
      <w:r>
        <w:rPr>
          <w:rFonts w:hint="eastAsia" w:ascii="仿宋_GB2312" w:eastAsia="仿宋_GB2312"/>
          <w:sz w:val="32"/>
          <w:szCs w:val="32"/>
        </w:rPr>
        <w:t>辆</w:t>
      </w:r>
      <w:r>
        <w:rPr>
          <w:rFonts w:hint="eastAsia" w:ascii="仿宋_GB2312" w:eastAsia="仿宋_GB2312"/>
          <w:sz w:val="32"/>
          <w:szCs w:val="32"/>
          <w:lang w:eastAsia="zh-CN"/>
        </w:rPr>
        <w:t>、救护车</w:t>
      </w:r>
      <w:r>
        <w:rPr>
          <w:rFonts w:hint="eastAsia" w:ascii="仿宋_GB2312" w:eastAsia="仿宋_GB2312"/>
          <w:sz w:val="32"/>
          <w:szCs w:val="32"/>
          <w:lang w:val="en-US" w:eastAsia="zh-CN"/>
        </w:rPr>
        <w:t>18辆</w:t>
      </w:r>
      <w:r>
        <w:rPr>
          <w:rFonts w:hint="eastAsia" w:ascii="仿宋_GB2312" w:eastAsia="仿宋_GB2312"/>
          <w:sz w:val="32"/>
          <w:szCs w:val="32"/>
        </w:rPr>
        <w:t>。</w:t>
      </w:r>
    </w:p>
    <w:p w14:paraId="7E0FB4A5">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ascii="仿宋" w:hAnsi="仿宋" w:eastAsia="仿宋"/>
          <w:b/>
          <w:sz w:val="32"/>
          <w:szCs w:val="32"/>
        </w:rPr>
        <w:t>0</w:t>
      </w:r>
      <w:r>
        <w:rPr>
          <w:rFonts w:hint="eastAsia" w:ascii="仿宋_GB2312" w:eastAsia="仿宋_GB2312"/>
          <w:sz w:val="32"/>
          <w:szCs w:val="32"/>
        </w:rPr>
        <w:t>万元。</w:t>
      </w:r>
    </w:p>
    <w:p w14:paraId="6C473A57">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ascii="仿宋" w:hAnsi="仿宋" w:eastAsia="仿宋"/>
          <w:b/>
          <w:sz w:val="32"/>
          <w:szCs w:val="32"/>
        </w:rPr>
        <w:t>0</w:t>
      </w:r>
      <w:r>
        <w:rPr>
          <w:rFonts w:hint="eastAsia" w:ascii="仿宋_GB2312" w:eastAsia="仿宋_GB2312"/>
          <w:sz w:val="32"/>
          <w:szCs w:val="32"/>
        </w:rPr>
        <w:t>万元，</w:t>
      </w:r>
      <w:r>
        <w:rPr>
          <w:rStyle w:val="17"/>
          <w:rFonts w:hint="eastAsia" w:ascii="仿宋" w:hAnsi="仿宋" w:eastAsia="仿宋"/>
          <w:b w:val="0"/>
          <w:bCs/>
          <w:sz w:val="32"/>
          <w:szCs w:val="32"/>
        </w:rPr>
        <w:t>完成预算</w:t>
      </w:r>
      <w:bookmarkStart w:id="109" w:name="_GoBack"/>
      <w:r>
        <w:rPr>
          <w:rFonts w:hint="eastAsia" w:ascii="仿宋" w:hAnsi="仿宋" w:eastAsia="仿宋" w:cs="Times New Roman"/>
          <w:b/>
          <w:kern w:val="2"/>
          <w:sz w:val="32"/>
          <w:szCs w:val="32"/>
          <w:lang w:val="en-US" w:eastAsia="zh-CN" w:bidi="ar-SA"/>
        </w:rPr>
        <w:t>0%</w:t>
      </w:r>
      <w:bookmarkEnd w:id="109"/>
      <w:r>
        <w:rPr>
          <w:rStyle w:val="17"/>
          <w:rFonts w:hint="eastAsia" w:ascii="仿宋" w:hAnsi="仿宋" w:eastAsia="仿宋"/>
          <w:b w:val="0"/>
          <w:bCs/>
          <w:sz w:val="32"/>
          <w:szCs w:val="32"/>
        </w:rPr>
        <w:t>。</w:t>
      </w:r>
      <w:r>
        <w:rPr>
          <w:rFonts w:hint="eastAsia" w:ascii="仿宋_GB2312" w:eastAsia="仿宋_GB2312"/>
          <w:sz w:val="32"/>
          <w:szCs w:val="32"/>
        </w:rPr>
        <w:t>公务接待费支出决算</w:t>
      </w:r>
      <w:r>
        <w:rPr>
          <w:rFonts w:hint="eastAsia" w:ascii="仿宋_GB2312" w:eastAsia="仿宋_GB2312"/>
          <w:sz w:val="32"/>
          <w:szCs w:val="32"/>
          <w:lang w:eastAsia="zh-CN"/>
        </w:rPr>
        <w:t>与</w:t>
      </w:r>
      <w:r>
        <w:rPr>
          <w:rFonts w:hint="eastAsia" w:ascii="仿宋_GB2312" w:eastAsia="仿宋_GB2312"/>
          <w:sz w:val="32"/>
          <w:szCs w:val="32"/>
        </w:rPr>
        <w:t>2022年</w:t>
      </w:r>
      <w:r>
        <w:rPr>
          <w:rFonts w:hint="eastAsia" w:ascii="仿宋_GB2312" w:eastAsia="仿宋_GB2312"/>
          <w:sz w:val="32"/>
          <w:szCs w:val="32"/>
          <w:lang w:eastAsia="zh-CN"/>
        </w:rPr>
        <w:t>一致</w:t>
      </w:r>
      <w:r>
        <w:rPr>
          <w:rFonts w:hint="eastAsia" w:ascii="仿宋_GB2312" w:eastAsia="仿宋_GB2312"/>
          <w:sz w:val="32"/>
          <w:szCs w:val="32"/>
        </w:rPr>
        <w:t>。其中：</w:t>
      </w:r>
    </w:p>
    <w:p w14:paraId="26FB5C4A">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ascii="仿宋" w:hAnsi="仿宋" w:eastAsia="仿宋"/>
          <w:b/>
          <w:sz w:val="32"/>
          <w:szCs w:val="32"/>
        </w:rPr>
        <w:t>0</w:t>
      </w:r>
      <w:r>
        <w:rPr>
          <w:rFonts w:hint="eastAsia" w:ascii="仿宋_GB2312" w:eastAsia="仿宋_GB2312"/>
          <w:sz w:val="32"/>
          <w:szCs w:val="32"/>
        </w:rPr>
        <w:t>万元。国内公务接待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p>
    <w:p w14:paraId="5F27C995">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w:t>
      </w:r>
      <w:r>
        <w:rPr>
          <w:rFonts w:ascii="仿宋" w:hAnsi="仿宋" w:eastAsia="仿宋"/>
          <w:b/>
          <w:sz w:val="32"/>
          <w:szCs w:val="32"/>
        </w:rPr>
        <w:t>0</w:t>
      </w:r>
      <w:r>
        <w:rPr>
          <w:rFonts w:hint="eastAsia" w:ascii="仿宋_GB2312" w:eastAsia="仿宋_GB2312"/>
          <w:sz w:val="32"/>
          <w:szCs w:val="32"/>
        </w:rPr>
        <w:t>万元。外事接待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p>
    <w:p w14:paraId="0D7C32F6">
      <w:pPr>
        <w:spacing w:line="600" w:lineRule="exact"/>
        <w:ind w:firstLine="640"/>
        <w:outlineLvl w:val="9"/>
        <w:rPr>
          <w:rFonts w:ascii="黑体" w:eastAsia="黑体"/>
          <w:sz w:val="32"/>
          <w:szCs w:val="32"/>
        </w:rPr>
      </w:pPr>
    </w:p>
    <w:p w14:paraId="56E7854A">
      <w:pPr>
        <w:spacing w:line="600" w:lineRule="exact"/>
        <w:ind w:firstLine="640"/>
        <w:outlineLvl w:val="1"/>
        <w:rPr>
          <w:rStyle w:val="29"/>
          <w:rFonts w:ascii="黑体" w:hAnsi="黑体" w:eastAsia="黑体"/>
        </w:rPr>
      </w:pPr>
      <w:bookmarkStart w:id="62" w:name="_Toc6310"/>
      <w:r>
        <w:rPr>
          <w:rFonts w:hint="eastAsia" w:ascii="黑体" w:eastAsia="黑体"/>
          <w:sz w:val="32"/>
          <w:szCs w:val="32"/>
        </w:rPr>
        <w:t>八、</w:t>
      </w:r>
      <w:r>
        <w:rPr>
          <w:rStyle w:val="29"/>
          <w:rFonts w:hint="eastAsia" w:ascii="黑体" w:hAnsi="黑体" w:eastAsia="黑体"/>
          <w:b w:val="0"/>
        </w:rPr>
        <w:t>政府性基金预算支出决算情况说明</w:t>
      </w:r>
      <w:bookmarkEnd w:id="60"/>
      <w:bookmarkEnd w:id="61"/>
      <w:bookmarkEnd w:id="62"/>
    </w:p>
    <w:p w14:paraId="218882B1">
      <w:pPr>
        <w:spacing w:line="600" w:lineRule="exact"/>
        <w:ind w:firstLine="640"/>
        <w:rPr>
          <w:rFonts w:ascii="仿宋_GB2312" w:eastAsia="仿宋_GB2312"/>
          <w:sz w:val="32"/>
          <w:szCs w:val="32"/>
        </w:rPr>
      </w:pPr>
      <w:r>
        <w:rPr>
          <w:rFonts w:hint="eastAsia" w:ascii="仿宋_GB2312" w:eastAsia="仿宋_GB2312"/>
          <w:sz w:val="32"/>
          <w:szCs w:val="32"/>
        </w:rPr>
        <w:t>2023年度政府性基金预算财政拨款支出</w:t>
      </w:r>
      <w:r>
        <w:rPr>
          <w:rFonts w:ascii="仿宋" w:hAnsi="仿宋" w:eastAsia="仿宋"/>
          <w:b/>
          <w:sz w:val="32"/>
          <w:szCs w:val="32"/>
        </w:rPr>
        <w:t>0</w:t>
      </w:r>
      <w:r>
        <w:rPr>
          <w:rFonts w:hint="eastAsia" w:ascii="仿宋_GB2312" w:eastAsia="仿宋_GB2312"/>
          <w:sz w:val="32"/>
          <w:szCs w:val="32"/>
        </w:rPr>
        <w:t>万元。</w:t>
      </w:r>
    </w:p>
    <w:p w14:paraId="785BF7C5">
      <w:pPr>
        <w:spacing w:line="600" w:lineRule="exact"/>
        <w:ind w:firstLine="640"/>
        <w:rPr>
          <w:rFonts w:ascii="仿宋_GB2312" w:eastAsia="仿宋_GB2312"/>
          <w:sz w:val="32"/>
          <w:szCs w:val="32"/>
        </w:rPr>
      </w:pPr>
    </w:p>
    <w:p w14:paraId="6761BAB3">
      <w:pPr>
        <w:numPr>
          <w:ilvl w:val="0"/>
          <w:numId w:val="3"/>
        </w:numPr>
        <w:spacing w:line="600" w:lineRule="exact"/>
        <w:ind w:firstLine="640"/>
        <w:outlineLvl w:val="1"/>
        <w:rPr>
          <w:rStyle w:val="29"/>
          <w:rFonts w:ascii="黑体" w:hAnsi="黑体" w:eastAsia="黑体"/>
          <w:b w:val="0"/>
        </w:rPr>
      </w:pPr>
      <w:bookmarkStart w:id="63" w:name="_Toc15377219"/>
      <w:bookmarkStart w:id="64" w:name="_Toc15396611"/>
      <w:bookmarkStart w:id="65" w:name="_Toc15339"/>
      <w:r>
        <w:rPr>
          <w:rStyle w:val="29"/>
          <w:rFonts w:hint="eastAsia" w:ascii="黑体" w:hAnsi="黑体" w:eastAsia="黑体"/>
          <w:b w:val="0"/>
        </w:rPr>
        <w:t>国有资本经营预算支出决算情况说明</w:t>
      </w:r>
      <w:bookmarkEnd w:id="63"/>
      <w:bookmarkEnd w:id="64"/>
      <w:bookmarkEnd w:id="65"/>
    </w:p>
    <w:p w14:paraId="07F73678">
      <w:pPr>
        <w:spacing w:line="600" w:lineRule="exact"/>
        <w:ind w:firstLine="640"/>
        <w:rPr>
          <w:rFonts w:ascii="仿宋_GB2312" w:eastAsia="仿宋_GB2312"/>
          <w:sz w:val="32"/>
          <w:szCs w:val="32"/>
        </w:rPr>
      </w:pPr>
      <w:r>
        <w:rPr>
          <w:rFonts w:hint="eastAsia" w:ascii="仿宋_GB2312" w:eastAsia="仿宋_GB2312"/>
          <w:sz w:val="32"/>
          <w:szCs w:val="32"/>
        </w:rPr>
        <w:t>2023年度国有资本经营预算财政拨款支出</w:t>
      </w:r>
      <w:r>
        <w:rPr>
          <w:rFonts w:ascii="仿宋" w:hAnsi="仿宋" w:eastAsia="仿宋"/>
          <w:b/>
          <w:sz w:val="32"/>
          <w:szCs w:val="32"/>
        </w:rPr>
        <w:t>0</w:t>
      </w:r>
      <w:r>
        <w:rPr>
          <w:rFonts w:hint="eastAsia" w:ascii="仿宋_GB2312" w:eastAsia="仿宋_GB2312"/>
          <w:sz w:val="32"/>
          <w:szCs w:val="32"/>
        </w:rPr>
        <w:t>万元。</w:t>
      </w:r>
    </w:p>
    <w:p w14:paraId="251A7923">
      <w:pPr>
        <w:spacing w:line="580" w:lineRule="exact"/>
        <w:jc w:val="center"/>
        <w:rPr>
          <w:rFonts w:ascii="方正小标宋简体" w:hAnsi="方正小标宋简体" w:eastAsia="方正小标宋简体" w:cs="方正小标宋简体"/>
          <w:sz w:val="44"/>
          <w:szCs w:val="44"/>
        </w:rPr>
      </w:pPr>
    </w:p>
    <w:p w14:paraId="53860692">
      <w:pPr>
        <w:numPr>
          <w:ilvl w:val="0"/>
          <w:numId w:val="3"/>
        </w:numPr>
        <w:spacing w:line="600" w:lineRule="exact"/>
        <w:ind w:firstLine="640"/>
        <w:outlineLvl w:val="1"/>
        <w:rPr>
          <w:rStyle w:val="29"/>
          <w:rFonts w:ascii="黑体" w:hAnsi="黑体" w:eastAsia="黑体"/>
          <w:b w:val="0"/>
        </w:rPr>
      </w:pPr>
      <w:bookmarkStart w:id="66" w:name="_Toc15396612"/>
      <w:bookmarkStart w:id="67" w:name="_Toc15377221"/>
      <w:bookmarkStart w:id="68" w:name="_Toc11438"/>
      <w:r>
        <w:rPr>
          <w:rStyle w:val="29"/>
          <w:rFonts w:hint="eastAsia" w:ascii="黑体" w:hAnsi="黑体" w:eastAsia="黑体"/>
          <w:b w:val="0"/>
        </w:rPr>
        <w:t>其他重要事项的情况说明</w:t>
      </w:r>
      <w:bookmarkEnd w:id="66"/>
      <w:bookmarkEnd w:id="67"/>
      <w:bookmarkEnd w:id="68"/>
    </w:p>
    <w:p w14:paraId="453FCE94">
      <w:pPr>
        <w:spacing w:line="600" w:lineRule="exact"/>
        <w:ind w:firstLine="643" w:firstLineChars="200"/>
        <w:outlineLvl w:val="2"/>
        <w:rPr>
          <w:rFonts w:ascii="仿宋" w:hAnsi="仿宋" w:eastAsia="仿宋"/>
          <w:sz w:val="32"/>
          <w:szCs w:val="32"/>
        </w:rPr>
      </w:pPr>
      <w:bookmarkStart w:id="69" w:name="_Toc15377222"/>
      <w:r>
        <w:rPr>
          <w:rFonts w:hint="eastAsia" w:ascii="仿宋" w:hAnsi="仿宋" w:eastAsia="仿宋"/>
          <w:b/>
          <w:sz w:val="32"/>
          <w:szCs w:val="32"/>
        </w:rPr>
        <w:t>（一）机关运行经费支出情况</w:t>
      </w:r>
      <w:bookmarkEnd w:id="69"/>
    </w:p>
    <w:p w14:paraId="2D5931B3">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ascii="仿宋_GB2312" w:eastAsia="仿宋_GB2312"/>
          <w:b/>
          <w:sz w:val="32"/>
          <w:szCs w:val="32"/>
        </w:rPr>
        <w:t>凉山彝族自治州第一人民医院</w:t>
      </w:r>
      <w:r>
        <w:rPr>
          <w:rFonts w:hint="eastAsia" w:ascii="仿宋_GB2312" w:eastAsia="仿宋_GB2312"/>
          <w:sz w:val="32"/>
          <w:szCs w:val="32"/>
        </w:rPr>
        <w:t>机关运行经费支出</w:t>
      </w:r>
      <w:r>
        <w:rPr>
          <w:rFonts w:ascii="仿宋" w:hAnsi="仿宋" w:eastAsia="仿宋"/>
          <w:b/>
          <w:sz w:val="32"/>
          <w:szCs w:val="32"/>
        </w:rPr>
        <w:t>0</w:t>
      </w:r>
      <w:r>
        <w:rPr>
          <w:rFonts w:hint="eastAsia" w:ascii="仿宋_GB2312" w:eastAsia="仿宋_GB2312"/>
          <w:sz w:val="32"/>
          <w:szCs w:val="32"/>
        </w:rPr>
        <w:t>万元，与2022年度决算数持平。</w:t>
      </w:r>
    </w:p>
    <w:p w14:paraId="1F4D3BF1">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14:paraId="7F86EA43">
      <w:pPr>
        <w:autoSpaceDE w:val="0"/>
        <w:autoSpaceDN w:val="0"/>
        <w:adjustRightInd w:val="0"/>
        <w:spacing w:line="600" w:lineRule="exact"/>
        <w:ind w:firstLine="643" w:firstLineChars="200"/>
        <w:jc w:val="left"/>
        <w:outlineLvl w:val="2"/>
        <w:rPr>
          <w:rFonts w:ascii="仿宋" w:hAnsi="仿宋" w:eastAsia="仿宋"/>
          <w:b/>
          <w:sz w:val="32"/>
          <w:szCs w:val="32"/>
        </w:rPr>
      </w:pPr>
      <w:bookmarkStart w:id="70" w:name="_Toc15377223"/>
      <w:r>
        <w:rPr>
          <w:rFonts w:hint="eastAsia" w:ascii="仿宋" w:hAnsi="仿宋" w:eastAsia="仿宋"/>
          <w:b/>
          <w:sz w:val="32"/>
          <w:szCs w:val="32"/>
        </w:rPr>
        <w:t>（二）政府采购支出情况</w:t>
      </w:r>
      <w:bookmarkEnd w:id="70"/>
    </w:p>
    <w:p w14:paraId="5A68B1A3">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ascii="仿宋_GB2312" w:eastAsia="仿宋_GB2312"/>
          <w:b/>
          <w:sz w:val="32"/>
          <w:szCs w:val="32"/>
        </w:rPr>
        <w:t>凉山彝族自治州第一人民医院</w:t>
      </w:r>
      <w:r>
        <w:rPr>
          <w:rFonts w:hint="eastAsia" w:ascii="仿宋_GB2312" w:eastAsia="仿宋_GB2312"/>
          <w:sz w:val="32"/>
          <w:szCs w:val="32"/>
        </w:rPr>
        <w:t>政府采购支出总额</w:t>
      </w:r>
      <w:r>
        <w:rPr>
          <w:rFonts w:ascii="仿宋" w:hAnsi="仿宋" w:eastAsia="仿宋"/>
          <w:b/>
          <w:sz w:val="32"/>
          <w:szCs w:val="32"/>
        </w:rPr>
        <w:t>0</w:t>
      </w:r>
      <w:r>
        <w:rPr>
          <w:rFonts w:hint="eastAsia" w:ascii="仿宋_GB2312" w:eastAsia="仿宋_GB2312"/>
          <w:sz w:val="32"/>
          <w:szCs w:val="32"/>
        </w:rPr>
        <w:t>万元，其中：政府采购货物支出</w:t>
      </w:r>
      <w:r>
        <w:rPr>
          <w:rFonts w:ascii="仿宋" w:hAnsi="仿宋" w:eastAsia="仿宋"/>
          <w:b/>
          <w:sz w:val="32"/>
          <w:szCs w:val="32"/>
        </w:rPr>
        <w:t>0</w:t>
      </w:r>
      <w:r>
        <w:rPr>
          <w:rFonts w:hint="eastAsia" w:ascii="仿宋_GB2312" w:eastAsia="仿宋_GB2312"/>
          <w:sz w:val="32"/>
          <w:szCs w:val="32"/>
        </w:rPr>
        <w:t>万元、政府采购工程支出</w:t>
      </w:r>
      <w:r>
        <w:rPr>
          <w:rFonts w:ascii="仿宋" w:hAnsi="仿宋" w:eastAsia="仿宋"/>
          <w:b/>
          <w:sz w:val="32"/>
          <w:szCs w:val="32"/>
        </w:rPr>
        <w:t>0</w:t>
      </w:r>
      <w:r>
        <w:rPr>
          <w:rFonts w:hint="eastAsia" w:ascii="仿宋_GB2312" w:eastAsia="仿宋_GB2312"/>
          <w:sz w:val="32"/>
          <w:szCs w:val="32"/>
        </w:rPr>
        <w:t>万元、政府采购服务支出</w:t>
      </w:r>
      <w:r>
        <w:rPr>
          <w:rFonts w:ascii="仿宋" w:hAnsi="仿宋" w:eastAsia="仿宋"/>
          <w:b/>
          <w:sz w:val="32"/>
          <w:szCs w:val="32"/>
        </w:rPr>
        <w:t>0</w:t>
      </w:r>
      <w:r>
        <w:rPr>
          <w:rFonts w:hint="eastAsia" w:ascii="仿宋_GB2312" w:eastAsia="仿宋_GB2312"/>
          <w:sz w:val="32"/>
          <w:szCs w:val="32"/>
        </w:rPr>
        <w:t>万元。授予中小企业合同金额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b/>
          <w:sz w:val="32"/>
          <w:szCs w:val="32"/>
        </w:rPr>
        <w:t>0</w:t>
      </w:r>
      <w:r>
        <w:rPr>
          <w:rFonts w:ascii="仿宋_GB2312" w:eastAsia="仿宋_GB2312"/>
          <w:sz w:val="32"/>
          <w:szCs w:val="32"/>
        </w:rPr>
        <w:t>%</w:t>
      </w:r>
      <w:r>
        <w:rPr>
          <w:rFonts w:hint="eastAsia" w:ascii="仿宋_GB2312" w:eastAsia="仿宋_GB2312"/>
          <w:sz w:val="32"/>
          <w:szCs w:val="32"/>
        </w:rPr>
        <w:t>。</w:t>
      </w:r>
    </w:p>
    <w:p w14:paraId="5A042FD1">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14:paraId="25726EB9">
      <w:pPr>
        <w:autoSpaceDE w:val="0"/>
        <w:autoSpaceDN w:val="0"/>
        <w:adjustRightInd w:val="0"/>
        <w:spacing w:line="600" w:lineRule="exact"/>
        <w:ind w:firstLine="643" w:firstLineChars="200"/>
        <w:jc w:val="left"/>
        <w:outlineLvl w:val="2"/>
        <w:rPr>
          <w:rFonts w:ascii="仿宋" w:hAnsi="仿宋" w:eastAsia="仿宋"/>
          <w:b/>
          <w:sz w:val="32"/>
          <w:szCs w:val="32"/>
        </w:rPr>
      </w:pPr>
      <w:bookmarkStart w:id="71" w:name="_Toc15377224"/>
      <w:r>
        <w:rPr>
          <w:rFonts w:hint="eastAsia" w:ascii="仿宋" w:hAnsi="仿宋" w:eastAsia="仿宋"/>
          <w:b/>
          <w:sz w:val="32"/>
          <w:szCs w:val="32"/>
        </w:rPr>
        <w:t>（三）国有资产占有使用情况</w:t>
      </w:r>
      <w:bookmarkEnd w:id="71"/>
    </w:p>
    <w:p w14:paraId="499339DE">
      <w:pPr>
        <w:autoSpaceDE w:val="0"/>
        <w:autoSpaceDN w:val="0"/>
        <w:adjustRightInd w:val="0"/>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截至2023年12月31日，凉山彝族自治州第一人民医院共有车辆</w:t>
      </w:r>
      <w:r>
        <w:rPr>
          <w:rFonts w:hint="eastAsia" w:ascii="仿宋_GB2312" w:eastAsia="仿宋_GB2312"/>
          <w:sz w:val="32"/>
          <w:szCs w:val="32"/>
          <w:lang w:val="en-US" w:eastAsia="zh-CN"/>
        </w:rPr>
        <w:t>31</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13</w:t>
      </w:r>
      <w:r>
        <w:rPr>
          <w:rFonts w:hint="eastAsia" w:ascii="仿宋_GB2312" w:eastAsia="仿宋_GB2312"/>
          <w:sz w:val="32"/>
          <w:szCs w:val="32"/>
        </w:rPr>
        <w:t>辆、其他用车</w:t>
      </w:r>
      <w:r>
        <w:rPr>
          <w:rFonts w:hint="eastAsia" w:ascii="仿宋_GB2312" w:eastAsia="仿宋_GB2312"/>
          <w:sz w:val="32"/>
          <w:szCs w:val="32"/>
          <w:lang w:val="en-US" w:eastAsia="zh-CN"/>
        </w:rPr>
        <w:t>18</w:t>
      </w:r>
      <w:r>
        <w:rPr>
          <w:rFonts w:hint="eastAsia" w:ascii="仿宋_GB2312" w:eastAsia="仿宋_GB2312"/>
          <w:sz w:val="32"/>
          <w:szCs w:val="32"/>
        </w:rPr>
        <w:t>辆，其他用车主要是用于</w:t>
      </w:r>
      <w:r>
        <w:rPr>
          <w:rFonts w:hint="eastAsia" w:ascii="仿宋_GB2312" w:eastAsia="仿宋_GB2312"/>
          <w:sz w:val="32"/>
          <w:szCs w:val="32"/>
          <w:lang w:eastAsia="zh-CN"/>
        </w:rPr>
        <w:t>救护工作</w:t>
      </w:r>
      <w:r>
        <w:rPr>
          <w:rFonts w:hint="eastAsia" w:ascii="仿宋_GB2312" w:eastAsia="仿宋_GB2312"/>
          <w:sz w:val="32"/>
          <w:szCs w:val="32"/>
        </w:rPr>
        <w:t>。单价100万元以上设备（不含车辆）108台（套）。</w:t>
      </w:r>
    </w:p>
    <w:p w14:paraId="6C244050">
      <w:pPr>
        <w:autoSpaceDE w:val="0"/>
        <w:autoSpaceDN w:val="0"/>
        <w:adjustRightInd w:val="0"/>
        <w:spacing w:line="600" w:lineRule="exact"/>
        <w:ind w:firstLine="643" w:firstLineChars="200"/>
        <w:jc w:val="left"/>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表，按单位决算报表填报数据罗列车辆情况。）</w:t>
      </w:r>
    </w:p>
    <w:p w14:paraId="096064CE">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62CEA98B">
      <w:pPr>
        <w:spacing w:line="600" w:lineRule="exact"/>
        <w:ind w:firstLine="640" w:firstLineChars="200"/>
        <w:rPr>
          <w:rFonts w:ascii="仿宋_GB2312" w:eastAsia="仿宋_GB2312"/>
          <w:sz w:val="32"/>
          <w:szCs w:val="32"/>
        </w:rPr>
      </w:pPr>
      <w:r>
        <w:rPr>
          <w:rFonts w:hint="eastAsia" w:ascii="仿宋_GB2312" w:eastAsia="仿宋_GB2312"/>
          <w:sz w:val="32"/>
          <w:szCs w:val="32"/>
        </w:rPr>
        <w:t>根据预算绩效管理要求，本单位在2023年度预算编制阶段，组织对</w:t>
      </w:r>
      <w:r>
        <w:rPr>
          <w:rFonts w:hint="eastAsia" w:ascii="仿宋_GB2312" w:eastAsia="仿宋_GB2312"/>
          <w:sz w:val="32"/>
          <w:szCs w:val="32"/>
          <w:lang w:eastAsia="zh-CN"/>
        </w:rPr>
        <w:t>医疗成本费用预算项目（自有资金）</w:t>
      </w:r>
      <w:r>
        <w:rPr>
          <w:rFonts w:hint="eastAsia" w:ascii="仿宋_GB2312" w:eastAsia="仿宋_GB2312"/>
          <w:sz w:val="32"/>
          <w:szCs w:val="32"/>
        </w:rPr>
        <w:t>项目</w:t>
      </w:r>
      <w:r>
        <w:rPr>
          <w:rFonts w:hint="eastAsia" w:ascii="仿宋_GB2312" w:eastAsia="仿宋_GB2312"/>
          <w:sz w:val="32"/>
          <w:szCs w:val="32"/>
          <w:lang w:eastAsia="zh-CN"/>
        </w:rPr>
        <w:t>、人员经费预算项目（自有资金）、维修维护费预算项目</w:t>
      </w:r>
      <w:r>
        <w:rPr>
          <w:rFonts w:hint="eastAsia" w:ascii="仿宋_GB2312" w:eastAsia="仿宋_GB2312"/>
          <w:sz w:val="32"/>
          <w:szCs w:val="32"/>
          <w:lang w:val="en-US" w:eastAsia="zh-CN"/>
        </w:rPr>
        <w:t>-FS、招标采购预算项目（自有资金）、基建预算项目等5</w:t>
      </w:r>
      <w:r>
        <w:rPr>
          <w:rFonts w:hint="eastAsia" w:ascii="仿宋_GB2312" w:eastAsia="仿宋_GB2312"/>
          <w:sz w:val="32"/>
          <w:szCs w:val="32"/>
        </w:rPr>
        <w:t>个项目开展了预算事前绩效评估，对2023年优质高效医疗卫生服务体系建设工程中央基建投资</w:t>
      </w:r>
      <w:r>
        <w:rPr>
          <w:rFonts w:hint="eastAsia" w:ascii="仿宋_GB2312" w:eastAsia="仿宋_GB2312"/>
          <w:sz w:val="32"/>
          <w:szCs w:val="32"/>
          <w:lang w:eastAsia="zh-CN"/>
        </w:rPr>
        <w:t>、</w:t>
      </w:r>
      <w:r>
        <w:rPr>
          <w:rFonts w:hint="eastAsia" w:hAnsi="仿宋_GB2312" w:cs="仿宋_GB2312"/>
          <w:sz w:val="32"/>
          <w:szCs w:val="32"/>
        </w:rPr>
        <w:t>州本级单位缴费、州本级离退休医疗缴费、州本级离退休费支出、州本级</w:t>
      </w:r>
      <w:r>
        <w:rPr>
          <w:rFonts w:hint="eastAsia" w:hAnsi="仿宋_GB2312" w:cs="仿宋_GB2312"/>
          <w:sz w:val="32"/>
          <w:szCs w:val="32"/>
          <w:lang w:eastAsia="zh-CN"/>
        </w:rPr>
        <w:t>其他补助支出等</w:t>
      </w:r>
      <w:r>
        <w:rPr>
          <w:rFonts w:hint="eastAsia" w:ascii="仿宋_GB2312" w:eastAsia="仿宋_GB2312"/>
          <w:sz w:val="32"/>
          <w:szCs w:val="32"/>
          <w:lang w:val="en-US" w:eastAsia="zh-CN"/>
        </w:rPr>
        <w:t>33</w:t>
      </w:r>
      <w:r>
        <w:rPr>
          <w:rFonts w:hint="eastAsia" w:ascii="仿宋_GB2312" w:eastAsia="仿宋_GB2312"/>
          <w:sz w:val="32"/>
          <w:szCs w:val="32"/>
        </w:rPr>
        <w:t>个项目编制了绩效目标，预算执行过程中，</w:t>
      </w:r>
      <w:r>
        <w:rPr>
          <w:rFonts w:hint="eastAsia" w:ascii="仿宋_GB2312" w:eastAsia="仿宋_GB2312"/>
          <w:sz w:val="32"/>
          <w:szCs w:val="32"/>
          <w:lang w:eastAsia="zh-CN"/>
        </w:rPr>
        <w:t>对</w:t>
      </w:r>
      <w:r>
        <w:rPr>
          <w:rFonts w:hint="eastAsia" w:ascii="仿宋_GB2312" w:eastAsia="仿宋_GB2312"/>
          <w:sz w:val="32"/>
          <w:szCs w:val="32"/>
          <w:lang w:val="en-US" w:eastAsia="zh-CN"/>
        </w:rPr>
        <w:t>33</w:t>
      </w:r>
      <w:r>
        <w:rPr>
          <w:rFonts w:hint="eastAsia" w:ascii="仿宋_GB2312" w:eastAsia="仿宋_GB2312"/>
          <w:sz w:val="32"/>
          <w:szCs w:val="32"/>
        </w:rPr>
        <w:t>个项目开展绩效监控，组织对</w:t>
      </w:r>
      <w:r>
        <w:rPr>
          <w:rFonts w:hint="eastAsia" w:ascii="仿宋_GB2312" w:eastAsia="仿宋_GB2312"/>
          <w:sz w:val="32"/>
          <w:szCs w:val="32"/>
          <w:lang w:val="en-US" w:eastAsia="zh-CN"/>
        </w:rPr>
        <w:t>33</w:t>
      </w:r>
      <w:r>
        <w:rPr>
          <w:rFonts w:hint="eastAsia" w:ascii="仿宋_GB2312" w:eastAsia="仿宋_GB2312"/>
          <w:sz w:val="32"/>
          <w:szCs w:val="32"/>
        </w:rPr>
        <w:t>个项目开展绩效自评，绩效自评表详见第四部分附件。</w:t>
      </w:r>
    </w:p>
    <w:p w14:paraId="4CD46434">
      <w:pPr>
        <w:spacing w:line="600" w:lineRule="exact"/>
        <w:ind w:firstLine="640" w:firstLineChars="200"/>
        <w:rPr>
          <w:rFonts w:ascii="仿宋_GB2312" w:eastAsia="仿宋_GB2312"/>
          <w:sz w:val="32"/>
          <w:szCs w:val="32"/>
        </w:rPr>
      </w:pPr>
      <w:r>
        <w:rPr>
          <w:rFonts w:hint="eastAsia" w:ascii="仿宋_GB2312" w:eastAsia="仿宋_GB2312"/>
          <w:sz w:val="32"/>
          <w:szCs w:val="32"/>
        </w:rPr>
        <w:br w:type="page"/>
      </w:r>
    </w:p>
    <w:p w14:paraId="7159C7E7">
      <w:pPr>
        <w:numPr>
          <w:ilvl w:val="0"/>
          <w:numId w:val="4"/>
        </w:numPr>
        <w:spacing w:line="600" w:lineRule="exact"/>
        <w:ind w:firstLine="660" w:firstLineChars="150"/>
        <w:jc w:val="center"/>
        <w:outlineLvl w:val="0"/>
        <w:rPr>
          <w:rStyle w:val="28"/>
          <w:rFonts w:ascii="黑体" w:hAnsi="黑体" w:eastAsia="黑体"/>
          <w:b w:val="0"/>
        </w:rPr>
      </w:pPr>
      <w:bookmarkStart w:id="72" w:name="_Toc15377225"/>
      <w:bookmarkStart w:id="73" w:name="_Toc15396613"/>
      <w:bookmarkStart w:id="74" w:name="_Toc26848"/>
      <w:r>
        <w:rPr>
          <w:rFonts w:hint="eastAsia" w:ascii="黑体" w:hAnsi="黑体" w:eastAsia="黑体"/>
          <w:sz w:val="44"/>
          <w:szCs w:val="44"/>
        </w:rPr>
        <w:t>名</w:t>
      </w:r>
      <w:r>
        <w:rPr>
          <w:rStyle w:val="28"/>
          <w:rFonts w:hint="eastAsia" w:ascii="黑体" w:hAnsi="黑体" w:eastAsia="黑体"/>
          <w:b w:val="0"/>
        </w:rPr>
        <w:t>词解释</w:t>
      </w:r>
      <w:bookmarkEnd w:id="72"/>
      <w:bookmarkEnd w:id="73"/>
      <w:bookmarkEnd w:id="74"/>
    </w:p>
    <w:p w14:paraId="504B7341">
      <w:pPr>
        <w:spacing w:line="600" w:lineRule="exact"/>
        <w:jc w:val="left"/>
        <w:rPr>
          <w:rFonts w:ascii="宋体"/>
          <w:b/>
          <w:sz w:val="44"/>
          <w:szCs w:val="44"/>
        </w:rPr>
      </w:pPr>
    </w:p>
    <w:p w14:paraId="6BE3AE2E">
      <w:pPr>
        <w:pStyle w:val="26"/>
        <w:spacing w:line="560" w:lineRule="exact"/>
        <w:ind w:firstLine="640" w:firstLineChars="200"/>
        <w:outlineLvl w:val="1"/>
        <w:rPr>
          <w:rFonts w:ascii="仿宋_GB2312" w:eastAsia="仿宋_GB2312"/>
          <w:color w:val="auto"/>
          <w:sz w:val="32"/>
          <w:szCs w:val="32"/>
          <w:highlight w:val="none"/>
        </w:rPr>
      </w:pPr>
      <w:bookmarkStart w:id="75" w:name="_Toc28233"/>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bookmarkEnd w:id="75"/>
    </w:p>
    <w:p w14:paraId="0852E8CE">
      <w:pPr>
        <w:pStyle w:val="26"/>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事业收入：指事业单位开展专业业务活动及辅助活动取得的收入。如医疗诊断、检查、检验、手术、护理等。</w:t>
      </w:r>
    </w:p>
    <w:p w14:paraId="37307A76">
      <w:pPr>
        <w:pStyle w:val="26"/>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经营收入：指事业单位在专业业务活动及其辅助活动之外开展非独立核算经营活动取得的收入。</w:t>
      </w:r>
    </w:p>
    <w:p w14:paraId="0DB673C5">
      <w:pPr>
        <w:pStyle w:val="26"/>
        <w:spacing w:line="560" w:lineRule="exact"/>
        <w:ind w:firstLine="640" w:firstLineChars="200"/>
        <w:outlineLvl w:val="1"/>
        <w:rPr>
          <w:rFonts w:ascii="仿宋_GB2312" w:eastAsia="仿宋_GB2312"/>
          <w:color w:val="auto"/>
          <w:sz w:val="32"/>
          <w:szCs w:val="32"/>
          <w:highlight w:val="none"/>
        </w:rPr>
      </w:pPr>
      <w:bookmarkStart w:id="76" w:name="_Toc16317"/>
      <w:r>
        <w:rPr>
          <w:rFonts w:ascii="仿宋_GB2312" w:eastAsia="仿宋_GB2312"/>
          <w:color w:val="auto"/>
          <w:sz w:val="32"/>
          <w:szCs w:val="32"/>
          <w:highlight w:val="none"/>
        </w:rPr>
        <w:t>4.</w:t>
      </w:r>
      <w:r>
        <w:rPr>
          <w:rFonts w:hint="eastAsia" w:ascii="仿宋_GB2312" w:eastAsia="仿宋_GB2312"/>
          <w:color w:val="auto"/>
          <w:sz w:val="32"/>
          <w:szCs w:val="32"/>
          <w:highlight w:val="none"/>
        </w:rPr>
        <w:t>其他收入：指单位取得的除上述收入以外的各项收入。</w:t>
      </w:r>
      <w:bookmarkEnd w:id="76"/>
      <w:r>
        <w:rPr>
          <w:rFonts w:ascii="仿宋_GB2312" w:eastAsia="仿宋_GB2312"/>
          <w:color w:val="auto"/>
          <w:sz w:val="32"/>
          <w:szCs w:val="32"/>
          <w:highlight w:val="none"/>
        </w:rPr>
        <w:t xml:space="preserve"> </w:t>
      </w:r>
    </w:p>
    <w:p w14:paraId="430ED54F">
      <w:pPr>
        <w:pStyle w:val="26"/>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5.</w:t>
      </w:r>
      <w:r>
        <w:rPr>
          <w:rFonts w:hint="eastAsia" w:ascii="仿宋_GB2312" w:eastAsia="仿宋_GB2312"/>
          <w:color w:val="auto"/>
          <w:sz w:val="32"/>
          <w:szCs w:val="32"/>
          <w:highlight w:val="none"/>
        </w:rPr>
        <w:t>使用非财政拨款结余：指事业单位使用以前年度积累的非财政拨款结余弥补当年收支差额的金额。</w:t>
      </w:r>
      <w:r>
        <w:rPr>
          <w:rFonts w:ascii="仿宋_GB2312" w:eastAsia="仿宋_GB2312"/>
          <w:color w:val="auto"/>
          <w:sz w:val="32"/>
          <w:szCs w:val="32"/>
          <w:highlight w:val="none"/>
        </w:rPr>
        <w:t xml:space="preserve"> </w:t>
      </w:r>
    </w:p>
    <w:p w14:paraId="0A562236">
      <w:pPr>
        <w:pStyle w:val="26"/>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6.</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14:paraId="18E006A6">
      <w:pPr>
        <w:pStyle w:val="26"/>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7.</w:t>
      </w:r>
      <w:r>
        <w:rPr>
          <w:rFonts w:hint="eastAsia" w:ascii="仿宋_GB2312" w:eastAsia="仿宋_GB2312"/>
          <w:color w:val="auto"/>
          <w:sz w:val="32"/>
          <w:szCs w:val="32"/>
          <w:highlight w:val="none"/>
        </w:rPr>
        <w:t>结余分配：指事业单位按照会计制度规定缴纳的所得税、提取的专用结余以及转入非财政拨款结余的金额等。</w:t>
      </w:r>
    </w:p>
    <w:p w14:paraId="1AEB183B">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highlight w:val="none"/>
        </w:rPr>
        <w:t>8</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年末结转和结余：指单位按有关规定结转到下年或以后年度继续使用的资金。</w:t>
      </w:r>
    </w:p>
    <w:p w14:paraId="3A0A0D57">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9</w:t>
      </w:r>
      <w:r>
        <w:rPr>
          <w:rFonts w:hint="eastAsia" w:ascii="仿宋_GB2312" w:eastAsia="仿宋_GB2312"/>
          <w:sz w:val="32"/>
          <w:szCs w:val="32"/>
        </w:rPr>
        <w:t>.科学技术支出（类）技术研究与开发（款）其他技术研究与开发支出（项）: </w:t>
      </w:r>
      <w:r>
        <w:rPr>
          <w:rFonts w:hint="eastAsia" w:ascii="仿宋_GB2312" w:eastAsia="仿宋_GB2312"/>
          <w:sz w:val="32"/>
          <w:szCs w:val="32"/>
          <w:lang w:eastAsia="zh-CN"/>
        </w:rPr>
        <w:t>指</w:t>
      </w:r>
      <w:r>
        <w:rPr>
          <w:rFonts w:hint="eastAsia" w:ascii="仿宋_GB2312" w:eastAsia="仿宋_GB2312"/>
          <w:color w:val="auto"/>
          <w:sz w:val="32"/>
          <w:szCs w:val="32"/>
          <w:highlight w:val="none"/>
        </w:rPr>
        <w:t>从事技术开发研究和近期可望取得实用价值的</w:t>
      </w:r>
      <w:r>
        <w:rPr>
          <w:rFonts w:hint="eastAsia" w:ascii="仿宋_GB2312" w:eastAsia="仿宋_GB2312"/>
          <w:color w:val="auto"/>
          <w:sz w:val="32"/>
          <w:szCs w:val="32"/>
          <w:highlight w:val="none"/>
          <w:lang w:eastAsia="zh-CN"/>
        </w:rPr>
        <w:t>其他</w:t>
      </w:r>
      <w:r>
        <w:rPr>
          <w:rFonts w:hint="eastAsia" w:ascii="仿宋_GB2312" w:eastAsia="仿宋_GB2312"/>
          <w:color w:val="auto"/>
          <w:sz w:val="32"/>
          <w:szCs w:val="32"/>
          <w:highlight w:val="none"/>
        </w:rPr>
        <w:t>技术开发研究的支出</w:t>
      </w:r>
      <w:r>
        <w:rPr>
          <w:rFonts w:hint="eastAsia" w:ascii="仿宋_GB2312" w:eastAsia="仿宋_GB2312"/>
          <w:sz w:val="32"/>
          <w:szCs w:val="32"/>
        </w:rPr>
        <w:t>。</w:t>
      </w:r>
    </w:p>
    <w:p w14:paraId="0FDF71FC">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10</w:t>
      </w:r>
      <w:r>
        <w:rPr>
          <w:rFonts w:hint="eastAsia" w:ascii="仿宋_GB2312" w:eastAsia="仿宋_GB2312"/>
          <w:sz w:val="32"/>
          <w:szCs w:val="32"/>
        </w:rPr>
        <w:t>.社会保障和就业（类）人力资源和社会保障管理事务（款）其他人力资源和社会保障管理事务支出（项）: </w:t>
      </w:r>
      <w:r>
        <w:rPr>
          <w:rFonts w:hint="eastAsia" w:ascii="仿宋_GB2312" w:eastAsia="仿宋_GB2312"/>
          <w:sz w:val="32"/>
          <w:szCs w:val="32"/>
          <w:lang w:eastAsia="zh-CN"/>
        </w:rPr>
        <w:t>指</w:t>
      </w:r>
      <w:r>
        <w:rPr>
          <w:rFonts w:hint="eastAsia" w:ascii="仿宋_GB2312" w:eastAsia="仿宋_GB2312"/>
          <w:sz w:val="32"/>
          <w:szCs w:val="32"/>
        </w:rPr>
        <w:t>。</w:t>
      </w:r>
    </w:p>
    <w:p w14:paraId="418FAA65">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11</w:t>
      </w:r>
      <w:r>
        <w:rPr>
          <w:rFonts w:hint="eastAsia" w:ascii="仿宋_GB2312" w:eastAsia="仿宋_GB2312"/>
          <w:sz w:val="32"/>
          <w:szCs w:val="32"/>
        </w:rPr>
        <w:t>.社会保障和就业（类）行政事业单位养老支出（款）事业单位离退休（项）: </w:t>
      </w:r>
      <w:r>
        <w:rPr>
          <w:rFonts w:hint="eastAsia" w:ascii="仿宋_GB2312" w:eastAsia="仿宋_GB2312"/>
          <w:sz w:val="32"/>
          <w:szCs w:val="32"/>
          <w:lang w:eastAsia="zh-CN"/>
        </w:rPr>
        <w:t>指</w:t>
      </w:r>
      <w:r>
        <w:rPr>
          <w:rFonts w:hint="eastAsia" w:ascii="仿宋_GB2312" w:eastAsia="仿宋_GB2312"/>
          <w:color w:val="auto"/>
          <w:sz w:val="32"/>
          <w:szCs w:val="32"/>
          <w:highlight w:val="none"/>
        </w:rPr>
        <w:t>反映行政事业单位开支的离退休支出</w:t>
      </w:r>
      <w:r>
        <w:rPr>
          <w:rFonts w:hint="eastAsia" w:ascii="仿宋_GB2312" w:eastAsia="仿宋_GB2312"/>
          <w:sz w:val="32"/>
          <w:szCs w:val="32"/>
        </w:rPr>
        <w:t>。</w:t>
      </w:r>
    </w:p>
    <w:p w14:paraId="0C1829A5">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12</w:t>
      </w:r>
      <w:r>
        <w:rPr>
          <w:rFonts w:hint="eastAsia" w:ascii="仿宋_GB2312" w:eastAsia="仿宋_GB2312"/>
          <w:sz w:val="32"/>
          <w:szCs w:val="32"/>
        </w:rPr>
        <w:t>.社会保障和就业（类）行政事业单位养老支出（款）机关事业单位基本养老保险缴费支出（项）: </w:t>
      </w:r>
      <w:r>
        <w:rPr>
          <w:rFonts w:hint="eastAsia" w:ascii="仿宋_GB2312" w:eastAsia="仿宋_GB2312"/>
          <w:sz w:val="32"/>
          <w:szCs w:val="32"/>
          <w:lang w:eastAsia="zh-CN"/>
        </w:rPr>
        <w:t>指</w:t>
      </w:r>
      <w:r>
        <w:rPr>
          <w:rFonts w:hint="eastAsia" w:ascii="仿宋_GB2312" w:eastAsia="仿宋_GB2312"/>
          <w:color w:val="auto"/>
          <w:sz w:val="32"/>
          <w:szCs w:val="32"/>
          <w:highlight w:val="none"/>
        </w:rPr>
        <w:t>反映机关事业单位实施养老保险制度由单位缴纳的基本养老保险费支出</w:t>
      </w:r>
      <w:r>
        <w:rPr>
          <w:rFonts w:hint="eastAsia" w:ascii="仿宋_GB2312" w:eastAsia="仿宋_GB2312"/>
          <w:sz w:val="32"/>
          <w:szCs w:val="32"/>
        </w:rPr>
        <w:t>。</w:t>
      </w:r>
    </w:p>
    <w:p w14:paraId="5A2D1CE3">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13</w:t>
      </w:r>
      <w:r>
        <w:rPr>
          <w:rFonts w:hint="eastAsia" w:ascii="仿宋_GB2312" w:eastAsia="仿宋_GB2312"/>
          <w:sz w:val="32"/>
          <w:szCs w:val="32"/>
        </w:rPr>
        <w:t>.社会保障和就业（类）行政事业单位养老支出（款）机关事业单位职业年金缴费支出（项）: </w:t>
      </w:r>
      <w:r>
        <w:rPr>
          <w:rFonts w:hint="eastAsia" w:ascii="仿宋_GB2312" w:eastAsia="仿宋_GB2312"/>
          <w:sz w:val="32"/>
          <w:szCs w:val="32"/>
          <w:lang w:eastAsia="zh-CN"/>
        </w:rPr>
        <w:t>指</w:t>
      </w:r>
      <w:r>
        <w:rPr>
          <w:rFonts w:hint="eastAsia" w:ascii="仿宋_GB2312" w:eastAsia="仿宋_GB2312"/>
          <w:color w:val="auto"/>
          <w:sz w:val="32"/>
          <w:szCs w:val="32"/>
          <w:highlight w:val="none"/>
        </w:rPr>
        <w:t>反映机关事业单位实施养老保险制度由单位缴纳的职业年金支出</w:t>
      </w:r>
      <w:r>
        <w:rPr>
          <w:rFonts w:hint="eastAsia" w:ascii="仿宋_GB2312" w:eastAsia="仿宋_GB2312"/>
          <w:sz w:val="32"/>
          <w:szCs w:val="32"/>
        </w:rPr>
        <w:t>。</w:t>
      </w:r>
    </w:p>
    <w:p w14:paraId="2E5EFEBF">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14</w:t>
      </w:r>
      <w:r>
        <w:rPr>
          <w:rFonts w:hint="eastAsia" w:ascii="仿宋_GB2312" w:eastAsia="仿宋_GB2312"/>
          <w:sz w:val="32"/>
          <w:szCs w:val="32"/>
        </w:rPr>
        <w:t>.社会保障和就业（类）其他社会保障和就业支出（款）其他社会保障和就业支出（项）: </w:t>
      </w:r>
      <w:r>
        <w:rPr>
          <w:rFonts w:hint="eastAsia" w:ascii="仿宋_GB2312" w:eastAsia="仿宋_GB2312"/>
          <w:sz w:val="32"/>
          <w:szCs w:val="32"/>
          <w:lang w:eastAsia="zh-CN"/>
        </w:rPr>
        <w:t>指其他用于社会保障和就业方面的支出</w:t>
      </w:r>
      <w:r>
        <w:rPr>
          <w:rFonts w:hint="eastAsia" w:ascii="仿宋_GB2312" w:eastAsia="仿宋_GB2312"/>
          <w:sz w:val="32"/>
          <w:szCs w:val="32"/>
        </w:rPr>
        <w:t>。</w:t>
      </w:r>
    </w:p>
    <w:p w14:paraId="0C1CE133">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15</w:t>
      </w:r>
      <w:r>
        <w:rPr>
          <w:rFonts w:hint="eastAsia" w:ascii="仿宋_GB2312" w:eastAsia="仿宋_GB2312"/>
          <w:sz w:val="32"/>
          <w:szCs w:val="32"/>
        </w:rPr>
        <w:t>.卫生健康支出（类）公立医院（款）综合医院（项）: </w:t>
      </w:r>
      <w:r>
        <w:rPr>
          <w:rFonts w:hint="eastAsia" w:ascii="仿宋_GB2312" w:eastAsia="仿宋_GB2312"/>
          <w:sz w:val="32"/>
          <w:szCs w:val="32"/>
          <w:lang w:eastAsia="zh-CN"/>
        </w:rPr>
        <w:t>指</w:t>
      </w:r>
      <w:r>
        <w:rPr>
          <w:rFonts w:hint="eastAsia" w:ascii="仿宋_GB2312" w:eastAsia="仿宋_GB2312"/>
          <w:color w:val="auto"/>
          <w:sz w:val="32"/>
          <w:szCs w:val="32"/>
          <w:highlight w:val="none"/>
        </w:rPr>
        <w:t>反映</w:t>
      </w:r>
      <w:r>
        <w:rPr>
          <w:rFonts w:hint="eastAsia" w:ascii="仿宋_GB2312" w:eastAsia="仿宋_GB2312"/>
          <w:color w:val="auto"/>
          <w:sz w:val="32"/>
          <w:szCs w:val="32"/>
          <w:highlight w:val="none"/>
          <w:lang w:eastAsia="zh-CN"/>
        </w:rPr>
        <w:t>卫生健康、中医部门</w:t>
      </w:r>
      <w:r>
        <w:rPr>
          <w:rFonts w:hint="eastAsia" w:ascii="仿宋_GB2312" w:eastAsia="仿宋_GB2312"/>
          <w:color w:val="auto"/>
          <w:sz w:val="32"/>
          <w:szCs w:val="32"/>
          <w:highlight w:val="none"/>
        </w:rPr>
        <w:t>所属</w:t>
      </w:r>
      <w:r>
        <w:rPr>
          <w:rFonts w:hint="eastAsia" w:ascii="仿宋_GB2312" w:eastAsia="仿宋_GB2312"/>
          <w:color w:val="auto"/>
          <w:sz w:val="32"/>
          <w:szCs w:val="32"/>
          <w:highlight w:val="none"/>
          <w:lang w:eastAsia="zh-CN"/>
        </w:rPr>
        <w:t>的城市</w:t>
      </w:r>
      <w:r>
        <w:rPr>
          <w:rFonts w:hint="eastAsia" w:ascii="仿宋_GB2312" w:eastAsia="仿宋_GB2312"/>
          <w:color w:val="auto"/>
          <w:sz w:val="32"/>
          <w:szCs w:val="32"/>
          <w:highlight w:val="none"/>
        </w:rPr>
        <w:t>综合性医院</w:t>
      </w:r>
      <w:r>
        <w:rPr>
          <w:rFonts w:hint="eastAsia" w:ascii="仿宋_GB2312" w:eastAsia="仿宋_GB2312"/>
          <w:color w:val="auto"/>
          <w:sz w:val="32"/>
          <w:szCs w:val="32"/>
          <w:highlight w:val="none"/>
          <w:lang w:eastAsia="zh-CN"/>
        </w:rPr>
        <w:t>、独立门诊、教学医院、疗养院和县医院的</w:t>
      </w:r>
      <w:r>
        <w:rPr>
          <w:rFonts w:hint="eastAsia" w:ascii="仿宋_GB2312" w:eastAsia="仿宋_GB2312"/>
          <w:color w:val="auto"/>
          <w:sz w:val="32"/>
          <w:szCs w:val="32"/>
          <w:highlight w:val="none"/>
        </w:rPr>
        <w:t>支出</w:t>
      </w:r>
      <w:r>
        <w:rPr>
          <w:rFonts w:hint="eastAsia" w:ascii="仿宋_GB2312" w:eastAsia="仿宋_GB2312"/>
          <w:sz w:val="32"/>
          <w:szCs w:val="32"/>
        </w:rPr>
        <w:t>。</w:t>
      </w:r>
    </w:p>
    <w:p w14:paraId="6D2B717F">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16</w:t>
      </w:r>
      <w:r>
        <w:rPr>
          <w:rFonts w:hint="eastAsia" w:ascii="仿宋_GB2312" w:eastAsia="仿宋_GB2312"/>
          <w:sz w:val="32"/>
          <w:szCs w:val="32"/>
        </w:rPr>
        <w:t>.卫生健康支出（类）公立医院（款）其他公立医院支出（项）: </w:t>
      </w:r>
      <w:r>
        <w:rPr>
          <w:rFonts w:hint="eastAsia" w:ascii="仿宋_GB2312" w:eastAsia="仿宋_GB2312"/>
          <w:sz w:val="32"/>
          <w:szCs w:val="32"/>
          <w:lang w:eastAsia="zh-CN"/>
        </w:rPr>
        <w:t>指</w:t>
      </w:r>
      <w:r>
        <w:rPr>
          <w:rFonts w:hint="eastAsia" w:ascii="仿宋_GB2312" w:eastAsia="仿宋_GB2312"/>
          <w:color w:val="auto"/>
          <w:sz w:val="32"/>
          <w:szCs w:val="32"/>
          <w:highlight w:val="none"/>
        </w:rPr>
        <w:t>反映</w:t>
      </w:r>
      <w:r>
        <w:rPr>
          <w:rFonts w:hint="eastAsia" w:ascii="仿宋_GB2312" w:eastAsia="仿宋_GB2312"/>
          <w:color w:val="auto"/>
          <w:sz w:val="32"/>
          <w:szCs w:val="32"/>
          <w:highlight w:val="none"/>
          <w:lang w:eastAsia="zh-CN"/>
        </w:rPr>
        <w:t>其他用于公立医院</w:t>
      </w:r>
      <w:r>
        <w:rPr>
          <w:rFonts w:hint="eastAsia" w:ascii="仿宋_GB2312" w:eastAsia="仿宋_GB2312"/>
          <w:color w:val="auto"/>
          <w:sz w:val="32"/>
          <w:szCs w:val="32"/>
          <w:highlight w:val="none"/>
        </w:rPr>
        <w:t>方面的支出</w:t>
      </w:r>
      <w:r>
        <w:rPr>
          <w:rFonts w:hint="eastAsia" w:ascii="仿宋_GB2312" w:eastAsia="仿宋_GB2312"/>
          <w:sz w:val="32"/>
          <w:szCs w:val="32"/>
        </w:rPr>
        <w:t>。</w:t>
      </w:r>
    </w:p>
    <w:p w14:paraId="4356FF64">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17</w:t>
      </w:r>
      <w:r>
        <w:rPr>
          <w:rFonts w:hint="eastAsia" w:ascii="仿宋_GB2312" w:eastAsia="仿宋_GB2312"/>
          <w:sz w:val="32"/>
          <w:szCs w:val="32"/>
        </w:rPr>
        <w:t>.卫生健康支出（类）公共卫生（款）重大公共卫生服务（项）: </w:t>
      </w:r>
      <w:r>
        <w:rPr>
          <w:rFonts w:hint="eastAsia" w:ascii="仿宋_GB2312" w:eastAsia="仿宋_GB2312"/>
          <w:sz w:val="32"/>
          <w:szCs w:val="32"/>
          <w:lang w:eastAsia="zh-CN"/>
        </w:rPr>
        <w:t>指</w:t>
      </w:r>
      <w:r>
        <w:rPr>
          <w:rFonts w:hint="eastAsia" w:ascii="仿宋_GB2312" w:eastAsia="仿宋_GB2312"/>
          <w:color w:val="auto"/>
          <w:sz w:val="32"/>
          <w:szCs w:val="32"/>
          <w:highlight w:val="none"/>
        </w:rPr>
        <w:t>反映</w:t>
      </w:r>
      <w:r>
        <w:rPr>
          <w:rFonts w:hint="eastAsia" w:ascii="仿宋_GB2312" w:eastAsia="仿宋_GB2312"/>
          <w:color w:val="auto"/>
          <w:sz w:val="32"/>
          <w:szCs w:val="32"/>
          <w:highlight w:val="none"/>
          <w:lang w:eastAsia="zh-CN"/>
        </w:rPr>
        <w:t>重大疾病、重大传染病预防控制等重大公共卫生服务项目</w:t>
      </w:r>
      <w:r>
        <w:rPr>
          <w:rFonts w:hint="eastAsia" w:ascii="仿宋_GB2312" w:eastAsia="仿宋_GB2312"/>
          <w:color w:val="auto"/>
          <w:sz w:val="32"/>
          <w:szCs w:val="32"/>
          <w:highlight w:val="none"/>
        </w:rPr>
        <w:t>支出</w:t>
      </w:r>
      <w:r>
        <w:rPr>
          <w:rFonts w:hint="eastAsia" w:ascii="仿宋_GB2312" w:eastAsia="仿宋_GB2312"/>
          <w:sz w:val="32"/>
          <w:szCs w:val="32"/>
        </w:rPr>
        <w:t>。</w:t>
      </w:r>
    </w:p>
    <w:p w14:paraId="2885BCB8">
      <w:pPr>
        <w:ind w:firstLine="640" w:firstLineChars="200"/>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8</w:t>
      </w:r>
      <w:r>
        <w:rPr>
          <w:rFonts w:hint="eastAsia" w:ascii="仿宋_GB2312" w:eastAsia="仿宋_GB2312"/>
          <w:sz w:val="32"/>
          <w:szCs w:val="32"/>
        </w:rPr>
        <w:t>.卫生健康支出（类）公共卫生（款）突发公共卫生事件应急处理（项）: </w:t>
      </w:r>
      <w:r>
        <w:rPr>
          <w:rFonts w:hint="eastAsia" w:ascii="仿宋_GB2312" w:eastAsia="仿宋_GB2312"/>
          <w:sz w:val="32"/>
          <w:szCs w:val="32"/>
          <w:lang w:eastAsia="zh-CN"/>
        </w:rPr>
        <w:t>指</w:t>
      </w:r>
      <w:r>
        <w:rPr>
          <w:rFonts w:hint="eastAsia" w:ascii="仿宋_GB2312" w:eastAsia="仿宋_GB2312"/>
          <w:color w:val="auto"/>
          <w:sz w:val="32"/>
          <w:szCs w:val="32"/>
          <w:highlight w:val="none"/>
        </w:rPr>
        <w:t>反映</w:t>
      </w:r>
      <w:r>
        <w:rPr>
          <w:rFonts w:hint="eastAsia" w:ascii="仿宋_GB2312" w:eastAsia="仿宋_GB2312"/>
          <w:color w:val="auto"/>
          <w:sz w:val="32"/>
          <w:szCs w:val="32"/>
          <w:highlight w:val="none"/>
          <w:lang w:eastAsia="zh-CN"/>
        </w:rPr>
        <w:t>用于突发公共卫生事件应急处理</w:t>
      </w:r>
      <w:r>
        <w:rPr>
          <w:rFonts w:hint="eastAsia" w:ascii="仿宋_GB2312" w:eastAsia="仿宋_GB2312"/>
          <w:color w:val="auto"/>
          <w:sz w:val="32"/>
          <w:szCs w:val="32"/>
          <w:highlight w:val="none"/>
        </w:rPr>
        <w:t>的支出</w:t>
      </w:r>
      <w:r>
        <w:rPr>
          <w:rFonts w:hint="eastAsia" w:ascii="仿宋_GB2312" w:eastAsia="仿宋_GB2312"/>
          <w:sz w:val="32"/>
          <w:szCs w:val="32"/>
        </w:rPr>
        <w:t>。</w:t>
      </w:r>
    </w:p>
    <w:p w14:paraId="4891E535">
      <w:pPr>
        <w:ind w:firstLine="640" w:firstLineChars="200"/>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9</w:t>
      </w:r>
      <w:r>
        <w:rPr>
          <w:rFonts w:hint="eastAsia" w:ascii="仿宋_GB2312" w:eastAsia="仿宋_GB2312"/>
          <w:sz w:val="32"/>
          <w:szCs w:val="32"/>
        </w:rPr>
        <w:t>.卫生健康支出（类）公共卫生（款）其他公共卫生支出（项）: </w:t>
      </w:r>
      <w:r>
        <w:rPr>
          <w:rFonts w:hint="eastAsia" w:ascii="仿宋_GB2312" w:eastAsia="仿宋_GB2312"/>
          <w:sz w:val="32"/>
          <w:szCs w:val="32"/>
          <w:lang w:eastAsia="zh-CN"/>
        </w:rPr>
        <w:t>指</w:t>
      </w:r>
      <w:r>
        <w:rPr>
          <w:rFonts w:hint="eastAsia" w:ascii="仿宋_GB2312" w:eastAsia="仿宋_GB2312"/>
          <w:color w:val="auto"/>
          <w:sz w:val="32"/>
          <w:szCs w:val="32"/>
          <w:highlight w:val="none"/>
        </w:rPr>
        <w:t>反映</w:t>
      </w:r>
      <w:r>
        <w:rPr>
          <w:rFonts w:hint="eastAsia" w:ascii="仿宋_GB2312" w:eastAsia="仿宋_GB2312"/>
          <w:color w:val="auto"/>
          <w:sz w:val="32"/>
          <w:szCs w:val="32"/>
          <w:highlight w:val="none"/>
          <w:lang w:eastAsia="zh-CN"/>
        </w:rPr>
        <w:t>其他用于公共卫生方面的</w:t>
      </w:r>
      <w:r>
        <w:rPr>
          <w:rFonts w:hint="eastAsia" w:ascii="仿宋_GB2312" w:eastAsia="仿宋_GB2312"/>
          <w:color w:val="auto"/>
          <w:sz w:val="32"/>
          <w:szCs w:val="32"/>
          <w:highlight w:val="none"/>
        </w:rPr>
        <w:t>支出</w:t>
      </w:r>
      <w:r>
        <w:rPr>
          <w:rFonts w:hint="eastAsia" w:ascii="仿宋_GB2312" w:eastAsia="仿宋_GB2312"/>
          <w:sz w:val="32"/>
          <w:szCs w:val="32"/>
        </w:rPr>
        <w:t>。</w:t>
      </w:r>
    </w:p>
    <w:p w14:paraId="345A657D">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20</w:t>
      </w:r>
      <w:r>
        <w:rPr>
          <w:rFonts w:hint="eastAsia" w:ascii="仿宋_GB2312" w:eastAsia="仿宋_GB2312"/>
          <w:sz w:val="32"/>
          <w:szCs w:val="32"/>
        </w:rPr>
        <w:t>.卫生健康支出（类）中医药（款）中医（民族医）药专项（项）: </w:t>
      </w:r>
      <w:r>
        <w:rPr>
          <w:rFonts w:hint="eastAsia" w:ascii="仿宋_GB2312" w:eastAsia="仿宋_GB2312"/>
          <w:sz w:val="32"/>
          <w:szCs w:val="32"/>
          <w:lang w:eastAsia="zh-CN"/>
        </w:rPr>
        <w:t>指</w:t>
      </w:r>
      <w:r>
        <w:rPr>
          <w:rFonts w:hint="eastAsia" w:ascii="仿宋_GB2312" w:eastAsia="仿宋_GB2312"/>
          <w:color w:val="auto"/>
          <w:sz w:val="32"/>
          <w:szCs w:val="32"/>
          <w:highlight w:val="none"/>
        </w:rPr>
        <w:t>反映</w:t>
      </w:r>
      <w:r>
        <w:rPr>
          <w:rFonts w:hint="eastAsia" w:ascii="仿宋_GB2312" w:eastAsia="仿宋_GB2312"/>
          <w:sz w:val="32"/>
          <w:szCs w:val="32"/>
        </w:rPr>
        <w:t>中医（民族医）</w:t>
      </w:r>
      <w:r>
        <w:rPr>
          <w:rFonts w:hint="eastAsia" w:ascii="仿宋_GB2312" w:eastAsia="仿宋_GB2312"/>
          <w:sz w:val="32"/>
          <w:szCs w:val="32"/>
          <w:lang w:eastAsia="zh-CN"/>
        </w:rPr>
        <w:t>药方面的专项</w:t>
      </w:r>
      <w:r>
        <w:rPr>
          <w:rFonts w:hint="eastAsia" w:ascii="仿宋_GB2312" w:eastAsia="仿宋_GB2312"/>
          <w:color w:val="auto"/>
          <w:sz w:val="32"/>
          <w:szCs w:val="32"/>
          <w:highlight w:val="none"/>
        </w:rPr>
        <w:t>支出</w:t>
      </w:r>
      <w:r>
        <w:rPr>
          <w:rFonts w:hint="eastAsia" w:ascii="仿宋_GB2312" w:eastAsia="仿宋_GB2312"/>
          <w:sz w:val="32"/>
          <w:szCs w:val="32"/>
        </w:rPr>
        <w:t>。</w:t>
      </w:r>
    </w:p>
    <w:p w14:paraId="75127414">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21</w:t>
      </w:r>
      <w:r>
        <w:rPr>
          <w:rFonts w:hint="eastAsia" w:ascii="仿宋_GB2312" w:eastAsia="仿宋_GB2312"/>
          <w:sz w:val="32"/>
          <w:szCs w:val="32"/>
        </w:rPr>
        <w:t>.卫生健康支出（类）行政事业单位医疗（款）其他行政事业单位医疗支出（项）: </w:t>
      </w:r>
      <w:r>
        <w:rPr>
          <w:rFonts w:hint="eastAsia" w:ascii="仿宋_GB2312" w:eastAsia="仿宋_GB2312"/>
          <w:sz w:val="32"/>
          <w:szCs w:val="32"/>
          <w:lang w:eastAsia="zh-CN"/>
        </w:rPr>
        <w:t>指</w:t>
      </w:r>
      <w:r>
        <w:rPr>
          <w:rFonts w:hint="eastAsia" w:ascii="仿宋_GB2312" w:eastAsia="仿宋_GB2312"/>
          <w:color w:val="auto"/>
          <w:sz w:val="32"/>
          <w:szCs w:val="32"/>
          <w:highlight w:val="none"/>
        </w:rPr>
        <w:t>反映单位为职工缴纳的</w:t>
      </w:r>
      <w:r>
        <w:rPr>
          <w:rFonts w:hint="eastAsia" w:ascii="仿宋_GB2312" w:eastAsia="仿宋_GB2312"/>
          <w:color w:val="auto"/>
          <w:sz w:val="32"/>
          <w:szCs w:val="32"/>
          <w:highlight w:val="none"/>
          <w:lang w:eastAsia="zh-CN"/>
        </w:rPr>
        <w:t>其他</w:t>
      </w:r>
      <w:r>
        <w:rPr>
          <w:rFonts w:hint="eastAsia" w:ascii="仿宋_GB2312" w:eastAsia="仿宋_GB2312"/>
          <w:color w:val="auto"/>
          <w:sz w:val="32"/>
          <w:szCs w:val="32"/>
          <w:highlight w:val="none"/>
        </w:rPr>
        <w:t>医疗保险费</w:t>
      </w:r>
      <w:r>
        <w:rPr>
          <w:rFonts w:hint="eastAsia" w:ascii="仿宋_GB2312" w:eastAsia="仿宋_GB2312"/>
          <w:sz w:val="32"/>
          <w:szCs w:val="32"/>
        </w:rPr>
        <w:t>。</w:t>
      </w:r>
    </w:p>
    <w:p w14:paraId="4D2C819A">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22</w:t>
      </w:r>
      <w:r>
        <w:rPr>
          <w:rFonts w:hint="eastAsia" w:ascii="仿宋_GB2312" w:eastAsia="仿宋_GB2312"/>
          <w:sz w:val="32"/>
          <w:szCs w:val="32"/>
        </w:rPr>
        <w:t>.卫生健康支出（类）其他卫生健康支出（款）其他卫生健康支出（项）: </w:t>
      </w:r>
      <w:r>
        <w:rPr>
          <w:rFonts w:hint="eastAsia" w:ascii="仿宋_GB2312" w:eastAsia="仿宋_GB2312"/>
          <w:sz w:val="32"/>
          <w:szCs w:val="32"/>
          <w:lang w:eastAsia="zh-CN"/>
        </w:rPr>
        <w:t>指</w:t>
      </w:r>
      <w:r>
        <w:rPr>
          <w:rFonts w:hint="eastAsia" w:ascii="仿宋_GB2312" w:eastAsia="仿宋_GB2312"/>
          <w:color w:val="auto"/>
          <w:sz w:val="32"/>
          <w:szCs w:val="32"/>
          <w:highlight w:val="none"/>
        </w:rPr>
        <w:t>反映</w:t>
      </w:r>
      <w:r>
        <w:rPr>
          <w:rFonts w:hint="eastAsia" w:ascii="仿宋_GB2312" w:eastAsia="仿宋_GB2312"/>
          <w:color w:val="auto"/>
          <w:sz w:val="32"/>
          <w:szCs w:val="32"/>
          <w:highlight w:val="none"/>
          <w:lang w:eastAsia="zh-CN"/>
        </w:rPr>
        <w:t>卫生健康</w:t>
      </w:r>
      <w:r>
        <w:rPr>
          <w:rFonts w:hint="eastAsia" w:ascii="仿宋_GB2312" w:eastAsia="仿宋_GB2312"/>
          <w:color w:val="auto"/>
          <w:sz w:val="32"/>
          <w:szCs w:val="32"/>
          <w:highlight w:val="none"/>
        </w:rPr>
        <w:t>委所属</w:t>
      </w:r>
      <w:r>
        <w:rPr>
          <w:rFonts w:hint="eastAsia" w:ascii="仿宋_GB2312" w:eastAsia="仿宋_GB2312"/>
          <w:color w:val="auto"/>
          <w:sz w:val="32"/>
          <w:szCs w:val="32"/>
          <w:highlight w:val="none"/>
          <w:lang w:eastAsia="zh-CN"/>
        </w:rPr>
        <w:t>医院</w:t>
      </w:r>
      <w:r>
        <w:rPr>
          <w:rFonts w:hint="eastAsia" w:ascii="仿宋_GB2312" w:eastAsia="仿宋_GB2312"/>
          <w:color w:val="auto"/>
          <w:sz w:val="32"/>
          <w:szCs w:val="32"/>
          <w:highlight w:val="none"/>
        </w:rPr>
        <w:t>开展</w:t>
      </w:r>
      <w:r>
        <w:rPr>
          <w:rFonts w:hint="eastAsia" w:ascii="仿宋_GB2312" w:eastAsia="仿宋_GB2312"/>
          <w:color w:val="auto"/>
          <w:sz w:val="32"/>
          <w:szCs w:val="32"/>
          <w:highlight w:val="none"/>
          <w:lang w:eastAsia="zh-CN"/>
        </w:rPr>
        <w:t>其他医疗活动方面的支出</w:t>
      </w:r>
      <w:r>
        <w:rPr>
          <w:rFonts w:hint="eastAsia" w:ascii="仿宋_GB2312" w:eastAsia="仿宋_GB2312"/>
          <w:sz w:val="32"/>
          <w:szCs w:val="32"/>
        </w:rPr>
        <w:t>。</w:t>
      </w:r>
    </w:p>
    <w:p w14:paraId="76786941">
      <w:pPr>
        <w:ind w:firstLine="640" w:firstLineChars="200"/>
        <w:rPr>
          <w:rFonts w:ascii="仿宋_GB2312" w:eastAsia="仿宋_GB2312"/>
          <w:sz w:val="32"/>
          <w:szCs w:val="32"/>
        </w:rPr>
      </w:pPr>
    </w:p>
    <w:p w14:paraId="6450EB92">
      <w:pPr>
        <w:spacing w:line="600" w:lineRule="exact"/>
        <w:ind w:firstLine="640"/>
        <w:rPr>
          <w:rFonts w:ascii="仿宋" w:hAnsi="仿宋" w:eastAsia="仿宋"/>
          <w:b/>
          <w:sz w:val="32"/>
          <w:szCs w:val="32"/>
        </w:rPr>
      </w:pPr>
      <w:r>
        <w:rPr>
          <w:rFonts w:hint="eastAsia" w:ascii="仿宋" w:hAnsi="仿宋" w:eastAsia="仿宋"/>
          <w:b/>
          <w:sz w:val="32"/>
          <w:szCs w:val="32"/>
        </w:rPr>
        <w:t>（解释本单位决算报表中涉及的全部功能分类科目至项级，不涉及的科目请自行删除。请参照《2023年政府收支分类科目》增减内容。）</w:t>
      </w:r>
    </w:p>
    <w:p w14:paraId="050ACED1">
      <w:pPr>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14:paraId="3676A6EA">
      <w:pPr>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14:paraId="6B4A0348">
      <w:pPr>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w:t>
      </w:r>
      <w:r>
        <w:rPr>
          <w:rFonts w:hint="eastAsia" w:ascii="仿宋_GB2312" w:eastAsia="仿宋_GB2312"/>
          <w:sz w:val="32"/>
          <w:szCs w:val="32"/>
        </w:rPr>
        <w:t>经营支出：指事业单位在专业业务活动及其辅助活动之外开展非独立核算经营活动发生的支出。</w:t>
      </w:r>
    </w:p>
    <w:p w14:paraId="6529BC8B">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26</w:t>
      </w:r>
      <w:r>
        <w:rPr>
          <w:rFonts w:ascii="仿宋_GB2312" w:eastAsia="仿宋_GB2312"/>
          <w:color w:val="auto"/>
          <w:sz w:val="32"/>
          <w:szCs w:val="32"/>
        </w:rPr>
        <w:t>.</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87A34C6">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27</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E78378C">
      <w:pPr>
        <w:pStyle w:val="26"/>
        <w:spacing w:line="560" w:lineRule="exact"/>
        <w:ind w:firstLine="640" w:firstLineChars="200"/>
        <w:rPr>
          <w:rFonts w:ascii="仿宋_GB2312" w:eastAsia="仿宋_GB2312" w:cs="黑体"/>
          <w:color w:val="auto"/>
          <w:sz w:val="32"/>
          <w:szCs w:val="32"/>
        </w:rPr>
      </w:pPr>
    </w:p>
    <w:p w14:paraId="66E2CB13">
      <w:pPr>
        <w:ind w:firstLine="643" w:firstLineChars="200"/>
        <w:rPr>
          <w:rFonts w:ascii="仿宋" w:hAnsi="仿宋" w:eastAsia="仿宋"/>
          <w:b/>
          <w:sz w:val="32"/>
          <w:szCs w:val="32"/>
        </w:rPr>
      </w:pPr>
      <w:r>
        <w:rPr>
          <w:rFonts w:hint="eastAsia" w:ascii="仿宋" w:hAnsi="仿宋" w:eastAsia="仿宋"/>
          <w:b/>
          <w:sz w:val="32"/>
          <w:szCs w:val="32"/>
        </w:rPr>
        <w:t>（名词解释部分请根据各单位实际列支情况罗列，并根据本单位职责职能增减名词解释内容。）</w:t>
      </w:r>
    </w:p>
    <w:p w14:paraId="445AF7FE">
      <w:pPr>
        <w:spacing w:line="600" w:lineRule="exact"/>
        <w:jc w:val="center"/>
        <w:outlineLvl w:val="0"/>
        <w:rPr>
          <w:rStyle w:val="28"/>
          <w:rFonts w:ascii="黑体" w:hAnsi="黑体" w:eastAsia="黑体"/>
          <w:b w:val="0"/>
        </w:rPr>
      </w:pPr>
      <w:bookmarkStart w:id="77" w:name="_Toc15377226"/>
      <w:r>
        <w:rPr>
          <w:rFonts w:ascii="宋体"/>
          <w:b/>
          <w:sz w:val="44"/>
          <w:szCs w:val="44"/>
        </w:rPr>
        <w:br w:type="page"/>
      </w:r>
      <w:bookmarkStart w:id="78" w:name="_Toc15396614"/>
      <w:bookmarkStart w:id="79" w:name="_Toc14148"/>
      <w:r>
        <w:rPr>
          <w:rFonts w:hint="eastAsia" w:ascii="黑体" w:hAnsi="黑体" w:eastAsia="黑体"/>
          <w:sz w:val="44"/>
          <w:szCs w:val="44"/>
        </w:rPr>
        <w:t>第</w:t>
      </w:r>
      <w:r>
        <w:rPr>
          <w:rStyle w:val="28"/>
          <w:rFonts w:hint="eastAsia" w:ascii="黑体" w:hAnsi="黑体" w:eastAsia="黑体"/>
          <w:b w:val="0"/>
        </w:rPr>
        <w:t>四部分 附件</w:t>
      </w:r>
      <w:bookmarkEnd w:id="78"/>
      <w:bookmarkEnd w:id="79"/>
    </w:p>
    <w:p w14:paraId="166441EB">
      <w:pPr>
        <w:spacing w:line="572" w:lineRule="exact"/>
        <w:jc w:val="left"/>
        <w:outlineLvl w:val="9"/>
        <w:rPr>
          <w:rFonts w:ascii="仿宋_GB2312" w:hAnsi="仿宋_GB2312" w:eastAsia="仿宋_GB2312" w:cs="仿宋_GB2312"/>
          <w:sz w:val="32"/>
          <w:szCs w:val="32"/>
        </w:rPr>
      </w:pPr>
    </w:p>
    <w:p w14:paraId="6E3B4F8C">
      <w:pPr>
        <w:spacing w:line="600" w:lineRule="exact"/>
        <w:jc w:val="center"/>
        <w:outlineLvl w:val="1"/>
        <w:rPr>
          <w:rFonts w:ascii="黑体" w:hAnsi="黑体" w:eastAsia="黑体"/>
          <w:color w:val="FF0000"/>
          <w:sz w:val="44"/>
          <w:szCs w:val="44"/>
        </w:rPr>
      </w:pPr>
      <w:bookmarkStart w:id="80" w:name="_Toc6715"/>
      <w:bookmarkStart w:id="81" w:name="_Toc15396618"/>
      <w:r>
        <w:rPr>
          <w:rFonts w:hint="eastAsia"/>
          <w:sz w:val="32"/>
          <w:szCs w:val="32"/>
        </w:rPr>
        <w:t>部门预算项目支出绩效自评表（2023年度）</w:t>
      </w:r>
      <w:bookmarkEnd w:id="80"/>
    </w:p>
    <w:p w14:paraId="2965B493">
      <w:pPr>
        <w:pStyle w:val="14"/>
        <w:spacing w:line="560" w:lineRule="exact"/>
        <w:ind w:left="0" w:leftChars="0" w:firstLine="640"/>
        <w:rPr>
          <w:sz w:val="32"/>
        </w:rPr>
      </w:pPr>
    </w:p>
    <w:p w14:paraId="45323C51">
      <w:pPr>
        <w:pStyle w:val="2"/>
        <w:spacing w:before="93"/>
        <w:rPr>
          <w:rFonts w:hAnsi="Calibri" w:cs="仿宋"/>
          <w:sz w:val="32"/>
          <w:szCs w:val="32"/>
        </w:rPr>
      </w:pPr>
    </w:p>
    <w:p w14:paraId="2CD1A027">
      <w:pPr>
        <w:pStyle w:val="2"/>
        <w:spacing w:before="93"/>
        <w:rPr>
          <w:rFonts w:hAnsi="Calibri" w:cs="仿宋"/>
          <w:sz w:val="32"/>
          <w:szCs w:val="32"/>
        </w:rPr>
      </w:pPr>
    </w:p>
    <w:p w14:paraId="1899357E">
      <w:pPr>
        <w:pStyle w:val="2"/>
        <w:spacing w:before="93"/>
        <w:rPr>
          <w:rFonts w:hAnsi="Calibri" w:cs="仿宋"/>
          <w:sz w:val="32"/>
          <w:szCs w:val="32"/>
        </w:rPr>
      </w:pPr>
    </w:p>
    <w:p w14:paraId="48E2D25B">
      <w:pPr>
        <w:pStyle w:val="2"/>
        <w:spacing w:before="93"/>
        <w:rPr>
          <w:rFonts w:hAnsi="Calibri" w:cs="仿宋"/>
          <w:sz w:val="32"/>
          <w:szCs w:val="32"/>
        </w:rPr>
      </w:pPr>
    </w:p>
    <w:p w14:paraId="70D2105B">
      <w:pPr>
        <w:pStyle w:val="2"/>
        <w:spacing w:before="93"/>
        <w:rPr>
          <w:rFonts w:hAnsi="Calibri" w:cs="仿宋"/>
          <w:sz w:val="32"/>
          <w:szCs w:val="32"/>
        </w:rPr>
      </w:pPr>
    </w:p>
    <w:p w14:paraId="363217A7">
      <w:pPr>
        <w:pStyle w:val="2"/>
        <w:spacing w:before="93"/>
        <w:rPr>
          <w:rFonts w:hAnsi="Calibri" w:cs="仿宋"/>
          <w:sz w:val="32"/>
          <w:szCs w:val="32"/>
        </w:rPr>
      </w:pPr>
    </w:p>
    <w:p w14:paraId="126DDA07">
      <w:pPr>
        <w:pStyle w:val="2"/>
        <w:spacing w:before="93"/>
        <w:rPr>
          <w:rFonts w:hAnsi="Calibri" w:cs="仿宋"/>
          <w:sz w:val="32"/>
          <w:szCs w:val="32"/>
        </w:rPr>
      </w:pPr>
    </w:p>
    <w:p w14:paraId="0A841B09">
      <w:pPr>
        <w:pStyle w:val="2"/>
        <w:spacing w:before="93"/>
        <w:rPr>
          <w:rFonts w:hAnsi="Calibri" w:cs="仿宋"/>
          <w:sz w:val="32"/>
          <w:szCs w:val="32"/>
        </w:rPr>
      </w:pPr>
    </w:p>
    <w:p w14:paraId="77997B13">
      <w:pPr>
        <w:pStyle w:val="2"/>
        <w:spacing w:before="93"/>
        <w:rPr>
          <w:rFonts w:hAnsi="Calibri" w:cs="仿宋"/>
          <w:sz w:val="32"/>
          <w:szCs w:val="32"/>
        </w:rPr>
      </w:pPr>
    </w:p>
    <w:p w14:paraId="1FBB2097">
      <w:pPr>
        <w:pStyle w:val="2"/>
        <w:spacing w:before="93"/>
        <w:rPr>
          <w:rFonts w:hAnsi="Calibri" w:cs="仿宋"/>
          <w:sz w:val="32"/>
          <w:szCs w:val="32"/>
        </w:rPr>
      </w:pPr>
    </w:p>
    <w:p w14:paraId="71403C9B">
      <w:pPr>
        <w:pStyle w:val="2"/>
        <w:spacing w:before="93"/>
        <w:rPr>
          <w:rFonts w:hAnsi="Calibri" w:cs="仿宋"/>
          <w:sz w:val="32"/>
          <w:szCs w:val="32"/>
        </w:rPr>
      </w:pPr>
    </w:p>
    <w:p w14:paraId="5B66BAF2">
      <w:pPr>
        <w:pStyle w:val="2"/>
        <w:spacing w:before="93"/>
        <w:rPr>
          <w:rFonts w:hAnsi="Calibri" w:cs="仿宋"/>
          <w:sz w:val="32"/>
          <w:szCs w:val="32"/>
        </w:rPr>
      </w:pPr>
    </w:p>
    <w:p w14:paraId="6804DF55">
      <w:pPr>
        <w:pStyle w:val="2"/>
        <w:spacing w:before="93"/>
        <w:rPr>
          <w:rFonts w:hAnsi="Calibri" w:cs="仿宋"/>
          <w:sz w:val="32"/>
          <w:szCs w:val="32"/>
        </w:rPr>
      </w:pPr>
    </w:p>
    <w:p w14:paraId="3111EFC2">
      <w:pPr>
        <w:pStyle w:val="2"/>
        <w:spacing w:before="93"/>
        <w:rPr>
          <w:rFonts w:hAnsi="Calibri" w:cs="仿宋"/>
          <w:sz w:val="32"/>
          <w:szCs w:val="32"/>
        </w:rPr>
      </w:pPr>
    </w:p>
    <w:p w14:paraId="2A9ED0FC">
      <w:pPr>
        <w:pStyle w:val="2"/>
        <w:spacing w:before="93"/>
        <w:rPr>
          <w:rFonts w:hAnsi="Calibri" w:cs="仿宋"/>
          <w:sz w:val="32"/>
          <w:szCs w:val="32"/>
        </w:rPr>
      </w:pPr>
    </w:p>
    <w:p w14:paraId="6D3E3A0B">
      <w:pPr>
        <w:pStyle w:val="2"/>
        <w:spacing w:before="93"/>
        <w:rPr>
          <w:rFonts w:hAnsi="Calibri" w:cs="仿宋"/>
          <w:sz w:val="32"/>
          <w:szCs w:val="32"/>
        </w:rPr>
      </w:pPr>
    </w:p>
    <w:p w14:paraId="754C3241">
      <w:pPr>
        <w:spacing w:line="600" w:lineRule="exact"/>
        <w:jc w:val="center"/>
        <w:outlineLvl w:val="0"/>
        <w:rPr>
          <w:rFonts w:ascii="仿宋" w:hAnsi="仿宋" w:eastAsia="仿宋"/>
        </w:rPr>
      </w:pPr>
      <w:bookmarkStart w:id="82" w:name="_Toc11556"/>
      <w:r>
        <w:rPr>
          <w:rFonts w:hint="eastAsia" w:ascii="黑体" w:hAnsi="黑体" w:eastAsia="黑体"/>
          <w:sz w:val="44"/>
          <w:szCs w:val="44"/>
        </w:rPr>
        <w:t>第</w:t>
      </w:r>
      <w:r>
        <w:rPr>
          <w:rStyle w:val="28"/>
          <w:rFonts w:hint="eastAsia" w:ascii="黑体" w:hAnsi="黑体" w:eastAsia="黑体"/>
          <w:b w:val="0"/>
        </w:rPr>
        <w:t>五部分 附表</w:t>
      </w:r>
      <w:bookmarkEnd w:id="77"/>
      <w:bookmarkEnd w:id="81"/>
      <w:bookmarkEnd w:id="82"/>
      <w:bookmarkStart w:id="83" w:name="_Toc15396619"/>
    </w:p>
    <w:p w14:paraId="0390D4A6">
      <w:pPr>
        <w:pStyle w:val="4"/>
        <w:rPr>
          <w:rFonts w:ascii="仿宋" w:hAnsi="仿宋" w:eastAsia="仿宋"/>
        </w:rPr>
      </w:pPr>
      <w:bookmarkStart w:id="84" w:name="_Toc14254"/>
      <w:r>
        <w:rPr>
          <w:rFonts w:hint="eastAsia" w:ascii="仿宋" w:hAnsi="仿宋" w:eastAsia="仿宋"/>
          <w:b w:val="0"/>
        </w:rPr>
        <w:t>一、收</w:t>
      </w:r>
      <w:r>
        <w:rPr>
          <w:rStyle w:val="29"/>
          <w:rFonts w:hint="eastAsia" w:ascii="仿宋" w:hAnsi="仿宋" w:eastAsia="仿宋"/>
          <w:b w:val="0"/>
          <w:bCs w:val="0"/>
        </w:rPr>
        <w:t>入支出决算总表</w:t>
      </w:r>
      <w:bookmarkEnd w:id="83"/>
      <w:bookmarkEnd w:id="84"/>
    </w:p>
    <w:p w14:paraId="1F8D9F26">
      <w:pPr>
        <w:pStyle w:val="4"/>
        <w:rPr>
          <w:rFonts w:ascii="仿宋" w:hAnsi="仿宋" w:eastAsia="仿宋"/>
        </w:rPr>
      </w:pPr>
      <w:bookmarkStart w:id="85" w:name="_Toc15396620"/>
      <w:bookmarkStart w:id="86" w:name="_Toc10796"/>
      <w:r>
        <w:rPr>
          <w:rFonts w:hint="eastAsia" w:ascii="仿宋" w:hAnsi="仿宋" w:eastAsia="仿宋"/>
          <w:b w:val="0"/>
        </w:rPr>
        <w:t>二、收</w:t>
      </w:r>
      <w:r>
        <w:rPr>
          <w:rStyle w:val="29"/>
          <w:rFonts w:hint="eastAsia" w:ascii="仿宋" w:hAnsi="仿宋" w:eastAsia="仿宋"/>
          <w:b w:val="0"/>
          <w:bCs w:val="0"/>
        </w:rPr>
        <w:t>入决算表</w:t>
      </w:r>
      <w:bookmarkEnd w:id="85"/>
      <w:bookmarkEnd w:id="86"/>
    </w:p>
    <w:p w14:paraId="68227180">
      <w:pPr>
        <w:pStyle w:val="4"/>
        <w:rPr>
          <w:rFonts w:ascii="仿宋" w:hAnsi="仿宋" w:eastAsia="仿宋"/>
        </w:rPr>
      </w:pPr>
      <w:bookmarkStart w:id="87" w:name="_Toc15396621"/>
      <w:bookmarkStart w:id="88" w:name="_Toc18571"/>
      <w:r>
        <w:rPr>
          <w:rStyle w:val="29"/>
          <w:rFonts w:hint="eastAsia" w:ascii="仿宋" w:hAnsi="仿宋" w:eastAsia="仿宋"/>
          <w:b w:val="0"/>
          <w:bCs w:val="0"/>
        </w:rPr>
        <w:t>三、</w:t>
      </w:r>
      <w:r>
        <w:rPr>
          <w:rFonts w:hint="eastAsia" w:ascii="仿宋" w:hAnsi="仿宋" w:eastAsia="仿宋"/>
          <w:b w:val="0"/>
        </w:rPr>
        <w:t>支</w:t>
      </w:r>
      <w:r>
        <w:rPr>
          <w:rStyle w:val="29"/>
          <w:rFonts w:hint="eastAsia" w:ascii="仿宋" w:hAnsi="仿宋" w:eastAsia="仿宋"/>
          <w:b w:val="0"/>
          <w:bCs w:val="0"/>
        </w:rPr>
        <w:t>出决算表</w:t>
      </w:r>
      <w:bookmarkEnd w:id="87"/>
      <w:bookmarkEnd w:id="88"/>
    </w:p>
    <w:p w14:paraId="7D9965DA">
      <w:pPr>
        <w:pStyle w:val="4"/>
        <w:rPr>
          <w:rFonts w:ascii="仿宋" w:hAnsi="仿宋" w:eastAsia="仿宋"/>
          <w:b w:val="0"/>
        </w:rPr>
      </w:pPr>
      <w:bookmarkStart w:id="89" w:name="_Toc15396622"/>
      <w:bookmarkStart w:id="90" w:name="_Toc18264"/>
      <w:r>
        <w:rPr>
          <w:rStyle w:val="29"/>
          <w:rFonts w:hint="eastAsia" w:ascii="仿宋" w:hAnsi="仿宋" w:eastAsia="仿宋"/>
          <w:b w:val="0"/>
          <w:bCs w:val="0"/>
        </w:rPr>
        <w:t>四、</w:t>
      </w:r>
      <w:r>
        <w:rPr>
          <w:rFonts w:hint="eastAsia" w:ascii="仿宋" w:hAnsi="仿宋" w:eastAsia="仿宋"/>
          <w:b w:val="0"/>
        </w:rPr>
        <w:t>财</w:t>
      </w:r>
      <w:r>
        <w:rPr>
          <w:rStyle w:val="29"/>
          <w:rFonts w:hint="eastAsia" w:ascii="仿宋" w:hAnsi="仿宋" w:eastAsia="仿宋"/>
          <w:b w:val="0"/>
          <w:bCs w:val="0"/>
        </w:rPr>
        <w:t>政拨款收入支出决算总表</w:t>
      </w:r>
      <w:bookmarkEnd w:id="89"/>
      <w:bookmarkEnd w:id="90"/>
    </w:p>
    <w:p w14:paraId="31D02D66">
      <w:pPr>
        <w:pStyle w:val="4"/>
        <w:rPr>
          <w:rStyle w:val="29"/>
          <w:rFonts w:ascii="仿宋" w:hAnsi="仿宋" w:eastAsia="仿宋"/>
          <w:b w:val="0"/>
          <w:bCs w:val="0"/>
        </w:rPr>
      </w:pPr>
      <w:bookmarkStart w:id="91" w:name="_Toc15396623"/>
      <w:bookmarkStart w:id="92" w:name="_Toc19177"/>
      <w:r>
        <w:rPr>
          <w:rStyle w:val="29"/>
          <w:rFonts w:hint="eastAsia" w:ascii="仿宋" w:hAnsi="仿宋" w:eastAsia="仿宋"/>
          <w:b w:val="0"/>
          <w:bCs w:val="0"/>
        </w:rPr>
        <w:t>五、</w:t>
      </w:r>
      <w:r>
        <w:rPr>
          <w:rFonts w:hint="eastAsia" w:ascii="仿宋" w:hAnsi="仿宋" w:eastAsia="仿宋"/>
          <w:b w:val="0"/>
        </w:rPr>
        <w:t>财</w:t>
      </w:r>
      <w:r>
        <w:rPr>
          <w:rStyle w:val="29"/>
          <w:rFonts w:hint="eastAsia" w:ascii="仿宋" w:hAnsi="仿宋" w:eastAsia="仿宋"/>
          <w:b w:val="0"/>
          <w:bCs w:val="0"/>
        </w:rPr>
        <w:t>政拨款支出决算明细表</w:t>
      </w:r>
      <w:bookmarkEnd w:id="91"/>
      <w:bookmarkEnd w:id="92"/>
      <w:bookmarkStart w:id="93" w:name="_Toc15396624"/>
    </w:p>
    <w:p w14:paraId="05D6F157">
      <w:pPr>
        <w:pStyle w:val="4"/>
        <w:rPr>
          <w:rFonts w:ascii="仿宋" w:hAnsi="仿宋" w:eastAsia="仿宋"/>
        </w:rPr>
      </w:pPr>
      <w:bookmarkStart w:id="94" w:name="_Toc22331"/>
      <w:r>
        <w:rPr>
          <w:rStyle w:val="29"/>
          <w:rFonts w:hint="eastAsia" w:ascii="仿宋" w:hAnsi="仿宋" w:eastAsia="仿宋"/>
          <w:b w:val="0"/>
          <w:bCs w:val="0"/>
        </w:rPr>
        <w:t>六、</w:t>
      </w:r>
      <w:r>
        <w:rPr>
          <w:rFonts w:hint="eastAsia" w:ascii="仿宋" w:hAnsi="仿宋" w:eastAsia="仿宋"/>
          <w:b w:val="0"/>
        </w:rPr>
        <w:t>一</w:t>
      </w:r>
      <w:r>
        <w:rPr>
          <w:rStyle w:val="29"/>
          <w:rFonts w:hint="eastAsia" w:ascii="仿宋" w:hAnsi="仿宋" w:eastAsia="仿宋"/>
          <w:b w:val="0"/>
          <w:bCs w:val="0"/>
        </w:rPr>
        <w:t>般公共预算财政拨款支出决算表</w:t>
      </w:r>
      <w:bookmarkEnd w:id="93"/>
      <w:bookmarkEnd w:id="94"/>
    </w:p>
    <w:p w14:paraId="77E36E87">
      <w:pPr>
        <w:pStyle w:val="4"/>
        <w:rPr>
          <w:rFonts w:ascii="仿宋" w:hAnsi="仿宋" w:eastAsia="仿宋"/>
        </w:rPr>
      </w:pPr>
      <w:bookmarkStart w:id="95" w:name="_Toc15396625"/>
      <w:bookmarkStart w:id="96" w:name="_Toc26726"/>
      <w:r>
        <w:rPr>
          <w:rStyle w:val="29"/>
          <w:rFonts w:hint="eastAsia" w:ascii="仿宋" w:hAnsi="仿宋" w:eastAsia="仿宋"/>
          <w:b w:val="0"/>
          <w:bCs w:val="0"/>
        </w:rPr>
        <w:t>七、</w:t>
      </w:r>
      <w:r>
        <w:rPr>
          <w:rFonts w:hint="eastAsia" w:ascii="仿宋" w:hAnsi="仿宋" w:eastAsia="仿宋"/>
          <w:b w:val="0"/>
        </w:rPr>
        <w:t>一</w:t>
      </w:r>
      <w:r>
        <w:rPr>
          <w:rStyle w:val="29"/>
          <w:rFonts w:hint="eastAsia" w:ascii="仿宋" w:hAnsi="仿宋" w:eastAsia="仿宋"/>
          <w:b w:val="0"/>
          <w:bCs w:val="0"/>
        </w:rPr>
        <w:t>般公共预算财政拨款支出决算明细表</w:t>
      </w:r>
      <w:bookmarkEnd w:id="95"/>
      <w:bookmarkEnd w:id="96"/>
    </w:p>
    <w:p w14:paraId="6DFC2325">
      <w:pPr>
        <w:pStyle w:val="4"/>
        <w:rPr>
          <w:rFonts w:ascii="仿宋" w:hAnsi="仿宋" w:eastAsia="仿宋"/>
        </w:rPr>
      </w:pPr>
      <w:bookmarkStart w:id="97" w:name="_Toc15396626"/>
      <w:bookmarkStart w:id="98" w:name="_Toc24818"/>
      <w:r>
        <w:rPr>
          <w:rStyle w:val="29"/>
          <w:rFonts w:hint="eastAsia" w:ascii="仿宋" w:hAnsi="仿宋" w:eastAsia="仿宋"/>
          <w:b w:val="0"/>
          <w:bCs w:val="0"/>
        </w:rPr>
        <w:t>八、</w:t>
      </w:r>
      <w:r>
        <w:rPr>
          <w:rFonts w:hint="eastAsia" w:ascii="仿宋" w:hAnsi="仿宋" w:eastAsia="仿宋"/>
          <w:b w:val="0"/>
        </w:rPr>
        <w:t>一</w:t>
      </w:r>
      <w:r>
        <w:rPr>
          <w:rStyle w:val="29"/>
          <w:rFonts w:hint="eastAsia" w:ascii="仿宋" w:hAnsi="仿宋" w:eastAsia="仿宋"/>
          <w:b w:val="0"/>
          <w:bCs w:val="0"/>
        </w:rPr>
        <w:t>般公共预算财政拨款基本支出决算表</w:t>
      </w:r>
      <w:bookmarkEnd w:id="97"/>
      <w:bookmarkEnd w:id="98"/>
    </w:p>
    <w:p w14:paraId="080AE0C3">
      <w:pPr>
        <w:pStyle w:val="4"/>
        <w:rPr>
          <w:rFonts w:ascii="仿宋" w:hAnsi="仿宋" w:eastAsia="仿宋"/>
        </w:rPr>
      </w:pPr>
      <w:bookmarkStart w:id="99" w:name="_Toc15396627"/>
      <w:bookmarkStart w:id="100" w:name="_Toc18388"/>
      <w:r>
        <w:rPr>
          <w:rStyle w:val="29"/>
          <w:rFonts w:hint="eastAsia" w:ascii="仿宋" w:hAnsi="仿宋" w:eastAsia="仿宋"/>
          <w:b w:val="0"/>
          <w:bCs w:val="0"/>
        </w:rPr>
        <w:t>九、</w:t>
      </w:r>
      <w:r>
        <w:rPr>
          <w:rFonts w:hint="eastAsia" w:ascii="仿宋" w:hAnsi="仿宋" w:eastAsia="仿宋"/>
          <w:b w:val="0"/>
        </w:rPr>
        <w:t>一</w:t>
      </w:r>
      <w:r>
        <w:rPr>
          <w:rStyle w:val="29"/>
          <w:rFonts w:hint="eastAsia" w:ascii="仿宋" w:hAnsi="仿宋" w:eastAsia="仿宋"/>
          <w:b w:val="0"/>
          <w:bCs w:val="0"/>
        </w:rPr>
        <w:t>般公共预算财政拨款项目支出决算表</w:t>
      </w:r>
      <w:bookmarkEnd w:id="99"/>
      <w:bookmarkEnd w:id="100"/>
    </w:p>
    <w:p w14:paraId="0DDFDF00">
      <w:pPr>
        <w:pStyle w:val="4"/>
        <w:rPr>
          <w:rFonts w:ascii="仿宋" w:hAnsi="仿宋" w:eastAsia="仿宋"/>
        </w:rPr>
      </w:pPr>
      <w:bookmarkStart w:id="101" w:name="_Toc15396628"/>
      <w:bookmarkStart w:id="102" w:name="_Toc25480"/>
      <w:r>
        <w:rPr>
          <w:rStyle w:val="29"/>
          <w:rFonts w:hint="eastAsia" w:ascii="仿宋" w:hAnsi="仿宋" w:eastAsia="仿宋"/>
          <w:b w:val="0"/>
          <w:bCs w:val="0"/>
        </w:rPr>
        <w:t>十、</w:t>
      </w:r>
      <w:bookmarkEnd w:id="101"/>
      <w:r>
        <w:rPr>
          <w:rFonts w:hint="eastAsia" w:ascii="仿宋" w:hAnsi="仿宋" w:eastAsia="仿宋"/>
          <w:b w:val="0"/>
        </w:rPr>
        <w:t>政</w:t>
      </w:r>
      <w:r>
        <w:rPr>
          <w:rStyle w:val="29"/>
          <w:rFonts w:hint="eastAsia" w:ascii="仿宋" w:hAnsi="仿宋" w:eastAsia="仿宋"/>
          <w:b w:val="0"/>
          <w:bCs w:val="0"/>
        </w:rPr>
        <w:t>府性基金预算财政拨款收入支出决算表</w:t>
      </w:r>
      <w:bookmarkEnd w:id="102"/>
    </w:p>
    <w:p w14:paraId="161D74EB">
      <w:pPr>
        <w:pStyle w:val="4"/>
        <w:rPr>
          <w:rFonts w:ascii="仿宋" w:hAnsi="仿宋" w:eastAsia="仿宋"/>
        </w:rPr>
      </w:pPr>
      <w:bookmarkStart w:id="103" w:name="_Toc15396629"/>
      <w:bookmarkStart w:id="104" w:name="_Toc6547"/>
      <w:r>
        <w:rPr>
          <w:rStyle w:val="29"/>
          <w:rFonts w:hint="eastAsia" w:ascii="仿宋" w:hAnsi="仿宋" w:eastAsia="仿宋"/>
          <w:b w:val="0"/>
          <w:bCs w:val="0"/>
        </w:rPr>
        <w:t>十一、</w:t>
      </w:r>
      <w:bookmarkEnd w:id="103"/>
      <w:r>
        <w:rPr>
          <w:rFonts w:hint="eastAsia" w:ascii="仿宋" w:hAnsi="仿宋" w:eastAsia="仿宋"/>
          <w:b w:val="0"/>
        </w:rPr>
        <w:t>国</w:t>
      </w:r>
      <w:r>
        <w:rPr>
          <w:rStyle w:val="29"/>
          <w:rFonts w:hint="eastAsia" w:ascii="仿宋" w:hAnsi="仿宋" w:eastAsia="仿宋"/>
          <w:b w:val="0"/>
          <w:bCs w:val="0"/>
        </w:rPr>
        <w:t>有资本经营预算财政拨款收入支出决算表</w:t>
      </w:r>
      <w:bookmarkEnd w:id="104"/>
    </w:p>
    <w:p w14:paraId="53F0ABA8">
      <w:pPr>
        <w:pStyle w:val="4"/>
        <w:rPr>
          <w:rFonts w:ascii="仿宋" w:hAnsi="仿宋" w:eastAsia="仿宋"/>
        </w:rPr>
      </w:pPr>
      <w:bookmarkStart w:id="105" w:name="_Toc15396630"/>
      <w:bookmarkStart w:id="106" w:name="_Toc11632"/>
      <w:r>
        <w:rPr>
          <w:rStyle w:val="29"/>
          <w:rFonts w:hint="eastAsia" w:ascii="仿宋" w:hAnsi="仿宋" w:eastAsia="仿宋"/>
          <w:b w:val="0"/>
          <w:bCs w:val="0"/>
        </w:rPr>
        <w:t>十二、</w:t>
      </w:r>
      <w:bookmarkEnd w:id="105"/>
      <w:r>
        <w:rPr>
          <w:rStyle w:val="29"/>
          <w:rFonts w:hint="eastAsia" w:ascii="仿宋" w:hAnsi="仿宋" w:eastAsia="仿宋"/>
          <w:b w:val="0"/>
          <w:bCs w:val="0"/>
        </w:rPr>
        <w:t>国有资本经营预算财政拨款支出决算表</w:t>
      </w:r>
      <w:bookmarkEnd w:id="106"/>
    </w:p>
    <w:p w14:paraId="1BB4E589">
      <w:pPr>
        <w:pStyle w:val="4"/>
        <w:rPr>
          <w:rFonts w:eastAsia="仿宋"/>
        </w:rPr>
      </w:pPr>
      <w:bookmarkStart w:id="107" w:name="_Toc15396631"/>
      <w:bookmarkStart w:id="108" w:name="_Toc7051"/>
      <w:r>
        <w:rPr>
          <w:rStyle w:val="29"/>
          <w:rFonts w:hint="eastAsia" w:ascii="仿宋" w:hAnsi="仿宋" w:eastAsia="仿宋"/>
          <w:b w:val="0"/>
          <w:bCs w:val="0"/>
        </w:rPr>
        <w:t>十三、</w:t>
      </w:r>
      <w:bookmarkEnd w:id="107"/>
      <w:r>
        <w:rPr>
          <w:rStyle w:val="29"/>
          <w:rFonts w:hint="eastAsia" w:ascii="仿宋" w:hAnsi="仿宋" w:eastAsia="仿宋"/>
          <w:b w:val="0"/>
          <w:bCs w:val="0"/>
        </w:rPr>
        <w:t>财政拨款“三公”经费支出决算表</w:t>
      </w:r>
      <w:bookmarkEnd w:id="108"/>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70D6097-83C1-4E08-BBA2-C278E532F32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6A82B94B-E96F-4A07-8FF4-248C54DCE8E8}"/>
  </w:font>
  <w:font w:name="Cambria">
    <w:panose1 w:val="02040503050406030204"/>
    <w:charset w:val="00"/>
    <w:family w:val="roman"/>
    <w:pitch w:val="default"/>
    <w:sig w:usb0="E00002FF" w:usb1="400004FF" w:usb2="00000000" w:usb3="00000000" w:csb0="2000019F" w:csb1="00000000"/>
    <w:embedRegular r:id="rId3" w:fontKey="{F3765A62-619B-4582-BE04-E12686626DF7}"/>
  </w:font>
  <w:font w:name="仿宋_GB2312">
    <w:panose1 w:val="02010609030101010101"/>
    <w:charset w:val="86"/>
    <w:family w:val="auto"/>
    <w:pitch w:val="default"/>
    <w:sig w:usb0="00000001" w:usb1="080E0000" w:usb2="00000000" w:usb3="00000000" w:csb0="00040000" w:csb1="00000000"/>
    <w:embedRegular r:id="rId4" w:fontKey="{8F028477-A4B9-44E3-8B74-42AEFCCD92C2}"/>
  </w:font>
  <w:font w:name="仿宋">
    <w:panose1 w:val="02010609060101010101"/>
    <w:charset w:val="86"/>
    <w:family w:val="auto"/>
    <w:pitch w:val="default"/>
    <w:sig w:usb0="800002BF" w:usb1="38CF7CFA" w:usb2="00000016" w:usb3="00000000" w:csb0="00040001" w:csb1="00000000"/>
    <w:embedRegular r:id="rId5" w:fontKey="{D362A8E7-4ABA-49F4-BD6C-46465758BABC}"/>
  </w:font>
  <w:font w:name="方正小标宋简体">
    <w:panose1 w:val="02000000000000000000"/>
    <w:charset w:val="86"/>
    <w:family w:val="script"/>
    <w:pitch w:val="default"/>
    <w:sig w:usb0="00000001" w:usb1="08000000" w:usb2="00000000" w:usb3="00000000" w:csb0="00040000" w:csb1="00000000"/>
    <w:embedRegular r:id="rId6" w:fontKey="{F00770C6-246A-450A-AA6C-8AA85508B10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1125F26F">
        <w:pPr>
          <w:pStyle w:val="9"/>
          <w:jc w:val="center"/>
        </w:pPr>
        <w:r>
          <w:fldChar w:fldCharType="begin"/>
        </w:r>
        <w:r>
          <w:instrText xml:space="preserve">PAGE   \* MERGEFORMAT</w:instrText>
        </w:r>
        <w:r>
          <w:fldChar w:fldCharType="separate"/>
        </w:r>
        <w:r>
          <w:rPr>
            <w:lang w:val="zh-CN"/>
          </w:rPr>
          <w:t>15</w:t>
        </w:r>
        <w:r>
          <w:fldChar w:fldCharType="end"/>
        </w:r>
      </w:p>
    </w:sdtContent>
  </w:sdt>
  <w:p w14:paraId="0E865840">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05CC7">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lOWViN2EwYmNjYTRhY2RjNTNlYzc2YjQ2MmM0Y2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500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F279E"/>
    <w:rsid w:val="00406254"/>
    <w:rsid w:val="004223D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F020C"/>
    <w:rsid w:val="0071021A"/>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FF0067"/>
    <w:rsid w:val="03DC2831"/>
    <w:rsid w:val="061F2A86"/>
    <w:rsid w:val="069B21F6"/>
    <w:rsid w:val="081B5E94"/>
    <w:rsid w:val="0A2032A3"/>
    <w:rsid w:val="0B8A37D8"/>
    <w:rsid w:val="0F5FFB2F"/>
    <w:rsid w:val="0FFFCF60"/>
    <w:rsid w:val="10C055FF"/>
    <w:rsid w:val="118107EC"/>
    <w:rsid w:val="11DD6519"/>
    <w:rsid w:val="13617E02"/>
    <w:rsid w:val="148F5B6D"/>
    <w:rsid w:val="16BB723D"/>
    <w:rsid w:val="17CD3946"/>
    <w:rsid w:val="18015F3F"/>
    <w:rsid w:val="1BE8440E"/>
    <w:rsid w:val="1D155CEE"/>
    <w:rsid w:val="1D3A7D4E"/>
    <w:rsid w:val="1FDBBF84"/>
    <w:rsid w:val="20F57F95"/>
    <w:rsid w:val="240371BF"/>
    <w:rsid w:val="2476535F"/>
    <w:rsid w:val="24CF521F"/>
    <w:rsid w:val="25711CC6"/>
    <w:rsid w:val="25C741E6"/>
    <w:rsid w:val="276F80C0"/>
    <w:rsid w:val="27842671"/>
    <w:rsid w:val="29FD04D3"/>
    <w:rsid w:val="2ABE7A3E"/>
    <w:rsid w:val="2AFF09B6"/>
    <w:rsid w:val="2BA41BB5"/>
    <w:rsid w:val="2CA234A8"/>
    <w:rsid w:val="2EFA178C"/>
    <w:rsid w:val="2EFDF86C"/>
    <w:rsid w:val="2F9D17E1"/>
    <w:rsid w:val="30B46D73"/>
    <w:rsid w:val="319F7F4E"/>
    <w:rsid w:val="356A28F1"/>
    <w:rsid w:val="357C035A"/>
    <w:rsid w:val="3624775F"/>
    <w:rsid w:val="368E000D"/>
    <w:rsid w:val="383D272C"/>
    <w:rsid w:val="39AE70AB"/>
    <w:rsid w:val="3A4DCE41"/>
    <w:rsid w:val="3BCB56FA"/>
    <w:rsid w:val="3C0C0783"/>
    <w:rsid w:val="3C7C7D85"/>
    <w:rsid w:val="3DD612D6"/>
    <w:rsid w:val="3EE7C2F4"/>
    <w:rsid w:val="3F371B56"/>
    <w:rsid w:val="3F792ED8"/>
    <w:rsid w:val="3F9F3A96"/>
    <w:rsid w:val="3FECA4B2"/>
    <w:rsid w:val="3FF58C48"/>
    <w:rsid w:val="41061B71"/>
    <w:rsid w:val="42FF6694"/>
    <w:rsid w:val="43340C18"/>
    <w:rsid w:val="44C879E9"/>
    <w:rsid w:val="48BF60AB"/>
    <w:rsid w:val="493C27E9"/>
    <w:rsid w:val="49685368"/>
    <w:rsid w:val="496F39ED"/>
    <w:rsid w:val="49EF1EDA"/>
    <w:rsid w:val="49FF41D3"/>
    <w:rsid w:val="4BE068DB"/>
    <w:rsid w:val="4BF6002B"/>
    <w:rsid w:val="4BFFC6BE"/>
    <w:rsid w:val="4ECE2238"/>
    <w:rsid w:val="50506965"/>
    <w:rsid w:val="50A27271"/>
    <w:rsid w:val="51DB4B86"/>
    <w:rsid w:val="51F64DB0"/>
    <w:rsid w:val="55333C3E"/>
    <w:rsid w:val="555111B5"/>
    <w:rsid w:val="570D462C"/>
    <w:rsid w:val="59CB6A71"/>
    <w:rsid w:val="5A677E93"/>
    <w:rsid w:val="5D016EBB"/>
    <w:rsid w:val="5F67802D"/>
    <w:rsid w:val="5F7DC4F2"/>
    <w:rsid w:val="5FB36814"/>
    <w:rsid w:val="5FBB8E56"/>
    <w:rsid w:val="5FFB5535"/>
    <w:rsid w:val="60AF54BB"/>
    <w:rsid w:val="63283E1E"/>
    <w:rsid w:val="64CA39A1"/>
    <w:rsid w:val="67AD43E4"/>
    <w:rsid w:val="69630ADE"/>
    <w:rsid w:val="69BD5F13"/>
    <w:rsid w:val="69FB0B4B"/>
    <w:rsid w:val="6BFFE1FB"/>
    <w:rsid w:val="6C4A05C8"/>
    <w:rsid w:val="6D3B1A89"/>
    <w:rsid w:val="6DB7D8A3"/>
    <w:rsid w:val="6EC78701"/>
    <w:rsid w:val="6F7A5481"/>
    <w:rsid w:val="6FFE07A9"/>
    <w:rsid w:val="71505E4E"/>
    <w:rsid w:val="71BF4EC2"/>
    <w:rsid w:val="721C3014"/>
    <w:rsid w:val="72734D90"/>
    <w:rsid w:val="737871FE"/>
    <w:rsid w:val="73E75B71"/>
    <w:rsid w:val="7412278C"/>
    <w:rsid w:val="75DDCDA9"/>
    <w:rsid w:val="75FF44B1"/>
    <w:rsid w:val="77670518"/>
    <w:rsid w:val="777FA627"/>
    <w:rsid w:val="77B01F48"/>
    <w:rsid w:val="77DF1B5F"/>
    <w:rsid w:val="77EF2D9D"/>
    <w:rsid w:val="79AD6A52"/>
    <w:rsid w:val="79E7B28D"/>
    <w:rsid w:val="7ACFF0C2"/>
    <w:rsid w:val="7AFB9108"/>
    <w:rsid w:val="7BD5340C"/>
    <w:rsid w:val="7BFB19D2"/>
    <w:rsid w:val="7BFD1750"/>
    <w:rsid w:val="7BFDAA1B"/>
    <w:rsid w:val="7CDF9A82"/>
    <w:rsid w:val="7CFFA1BD"/>
    <w:rsid w:val="7D2E3F7A"/>
    <w:rsid w:val="7DED9490"/>
    <w:rsid w:val="7DFF4872"/>
    <w:rsid w:val="7E7487E6"/>
    <w:rsid w:val="7E7C2A54"/>
    <w:rsid w:val="7EEEFD72"/>
    <w:rsid w:val="7F1D517C"/>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5"/>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1"/>
    <w:semiHidden/>
    <w:unhideWhenUsed/>
    <w:qFormat/>
    <w:uiPriority w:val="99"/>
    <w:rPr>
      <w:sz w:val="18"/>
      <w:szCs w:val="18"/>
    </w:rPr>
  </w:style>
  <w:style w:type="paragraph" w:styleId="9">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4">
    <w:name w:val="Body Text First Indent 2"/>
    <w:basedOn w:val="6"/>
    <w:unhideWhenUsed/>
    <w:qFormat/>
    <w:uiPriority w:val="99"/>
    <w:pPr>
      <w:ind w:firstLine="420" w:firstLine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字符"/>
    <w:link w:val="10"/>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字符"/>
    <w:link w:val="9"/>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字符"/>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字符"/>
    <w:basedOn w:val="16"/>
    <w:link w:val="3"/>
    <w:qFormat/>
    <w:uiPriority w:val="9"/>
    <w:rPr>
      <w:rFonts w:ascii="Times New Roman" w:hAnsi="Times New Roman"/>
      <w:b/>
      <w:bCs/>
      <w:kern w:val="44"/>
      <w:sz w:val="44"/>
      <w:szCs w:val="44"/>
    </w:rPr>
  </w:style>
  <w:style w:type="character" w:customStyle="1" w:styleId="29">
    <w:name w:val="标题 2 字符"/>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字符"/>
    <w:basedOn w:val="16"/>
    <w:link w:val="8"/>
    <w:semiHidden/>
    <w:qFormat/>
    <w:uiPriority w:val="99"/>
    <w:rPr>
      <w:rFonts w:ascii="Times New Roman" w:hAnsi="Times New Roman"/>
      <w:kern w:val="2"/>
      <w:sz w:val="18"/>
      <w:szCs w:val="18"/>
    </w:rPr>
  </w:style>
  <w:style w:type="character" w:customStyle="1" w:styleId="32">
    <w:name w:val="标题 3 字符"/>
    <w:basedOn w:val="16"/>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WPSOffice手动目录 1"/>
    <w:qFormat/>
    <w:uiPriority w:val="0"/>
    <w:pPr>
      <w:ind w:leftChars="0"/>
    </w:pPr>
    <w:rPr>
      <w:rFonts w:ascii="Times New Roman" w:hAnsi="Times New Roman" w:eastAsia="宋体" w:cs="Times New Roman"/>
      <w:sz w:val="20"/>
      <w:szCs w:val="20"/>
    </w:rPr>
  </w:style>
  <w:style w:type="paragraph" w:customStyle="1" w:styleId="35">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1.png"/><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LENOVO\Desktop\&#24180;&#24230;&#19978;&#25253;&#36164;&#26009;\&#39044;&#12289;&#20915;&#31639;&#20844;&#24320;&#36164;&#26009;\&#24030;&#19968;&#21307;&#38498;\2023&#24180;&#24030;&#19968;&#21307;&#38498;&#20915;&#31639;&#20844;&#24320;\&#24037;&#20316;&#31807;1.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LENOVO\Desktop\&#24180;&#24230;&#19978;&#25253;&#36164;&#26009;\&#39044;&#12289;&#20915;&#31639;&#20844;&#24320;&#36164;&#26009;\&#24030;&#19968;&#21307;&#38498;\2023&#24180;&#24030;&#19968;&#21307;&#38498;&#20915;&#31639;&#20844;&#24320;\&#24037;&#20316;&#31807;1.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LENOVO\Desktop\&#24180;&#24230;&#19978;&#25253;&#36164;&#26009;\&#39044;&#12289;&#20915;&#31639;&#20844;&#24320;&#36164;&#26009;\&#24030;&#19968;&#21307;&#38498;\2023&#24180;&#24030;&#19968;&#21307;&#38498;&#20915;&#31639;&#20844;&#24320;\&#24037;&#20316;&#31807;1.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LENOVO\Desktop\&#24180;&#24230;&#19978;&#25253;&#36164;&#26009;\&#39044;&#12289;&#20915;&#31639;&#20844;&#24320;&#36164;&#26009;\&#24030;&#19968;&#21307;&#38498;\2023&#24180;&#24030;&#19968;&#21307;&#38498;&#20915;&#31639;&#20844;&#24320;\&#24037;&#20316;&#31807;1.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LENOVO\Desktop\&#24180;&#24230;&#19978;&#25253;&#36164;&#26009;\&#39044;&#12289;&#20915;&#31639;&#20844;&#24320;&#36164;&#26009;\&#24030;&#19968;&#21307;&#38498;\2023&#24180;&#24030;&#19968;&#21307;&#38498;&#20915;&#31639;&#20844;&#24320;\&#24037;&#20316;&#31807;1.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LENOVO\Desktop\&#24180;&#24230;&#19978;&#25253;&#36164;&#26009;\&#39044;&#12289;&#20915;&#31639;&#20844;&#24320;&#36164;&#26009;\&#24030;&#19968;&#21307;&#38498;\2023&#24180;&#24030;&#19968;&#21307;&#38498;&#20915;&#31639;&#20844;&#24320;\&#24037;&#20316;&#31807;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收、支决算总计变动情况</a:t>
            </a:r>
          </a:p>
        </c:rich>
      </c:tx>
      <c:layout/>
      <c:overlay val="0"/>
      <c:spPr>
        <a:noFill/>
        <a:ln>
          <a:noFill/>
        </a:ln>
        <a:effectLst/>
      </c:spPr>
    </c:title>
    <c:autoTitleDeleted val="0"/>
    <c:plotArea>
      <c:layout/>
      <c:barChart>
        <c:barDir val="col"/>
        <c:grouping val="clustered"/>
        <c:varyColors val="0"/>
        <c:ser>
          <c:idx val="0"/>
          <c:order val="0"/>
          <c:spPr>
            <a:solidFill>
              <a:schemeClr val="accent2"/>
            </a:solidFill>
            <a:ln>
              <a:noFill/>
            </a:ln>
            <a:effectLst/>
          </c:spPr>
          <c:invertIfNegative val="0"/>
          <c:dPt>
            <c:idx val="1"/>
            <c:invertIfNegative val="0"/>
            <c:bubble3D val="0"/>
            <c:spPr>
              <a:solidFill>
                <a:schemeClr val="accent1"/>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[工作簿1.xlsx]Sheet1!$A$2:$A$3</c:f>
              <c:strCache>
                <c:ptCount val="2"/>
                <c:pt idx="0">
                  <c:v>2023年</c:v>
                </c:pt>
                <c:pt idx="1">
                  <c:v>2022年</c:v>
                </c:pt>
              </c:strCache>
            </c:strRef>
          </c:cat>
          <c:val>
            <c:numRef>
              <c:f>[工作簿1.xlsx]Sheet1!$B$2:$B$3</c:f>
              <c:numCache>
                <c:formatCode>General</c:formatCode>
                <c:ptCount val="2"/>
                <c:pt idx="0">
                  <c:v>136156.89</c:v>
                </c:pt>
                <c:pt idx="1">
                  <c:v>120247.22</c:v>
                </c:pt>
              </c:numCache>
            </c:numRef>
          </c:val>
        </c:ser>
        <c:dLbls>
          <c:showLegendKey val="0"/>
          <c:showVal val="1"/>
          <c:showCatName val="0"/>
          <c:showSerName val="0"/>
          <c:showPercent val="0"/>
          <c:showBubbleSize val="0"/>
        </c:dLbls>
        <c:gapWidth val="246"/>
        <c:overlap val="-28"/>
        <c:axId val="23219853"/>
        <c:axId val="412703566"/>
      </c:barChart>
      <c:catAx>
        <c:axId val="2321985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12703566"/>
        <c:crosses val="autoZero"/>
        <c:auto val="1"/>
        <c:lblAlgn val="ctr"/>
        <c:lblOffset val="100"/>
        <c:noMultiLvlLbl val="0"/>
      </c:catAx>
      <c:valAx>
        <c:axId val="412703566"/>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21985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solidFill>
                <a:latin typeface="+mn-lt"/>
                <a:ea typeface="+mn-ea"/>
                <a:cs typeface="+mn-cs"/>
              </a:defRPr>
            </a:pPr>
            <a:r>
              <a:rPr>
                <a:solidFill>
                  <a:schemeClr val="tx1"/>
                </a:solidFill>
              </a:rPr>
              <a:t>收入决算结构</a:t>
            </a:r>
            <a:endParaRPr>
              <a:solidFill>
                <a:schemeClr val="tx1"/>
              </a:solidFill>
            </a:endParaRP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dLbl>
              <c:idx val="0"/>
              <c:layout>
                <c:manualLayout>
                  <c:x val="0.104605263157895"/>
                  <c:y val="0.0416666666666667"/>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tx1"/>
                      </a:solidFill>
                      <a:latin typeface="+mn-lt"/>
                      <a:ea typeface="+mn-ea"/>
                      <a:cs typeface="+mn-cs"/>
                    </a:defRPr>
                  </a:pPr>
                </a:p>
              </c:txPr>
              <c:dLblPos val="bestFit"/>
              <c:showLegendKey val="0"/>
              <c:showVal val="1"/>
              <c:showCatName val="1"/>
              <c:showSerName val="0"/>
              <c:showPercent val="0"/>
              <c:showBubbleSize val="0"/>
              <c:extLst>
                <c:ext xmlns:c15="http://schemas.microsoft.com/office/drawing/2012/chart" uri="{CE6537A1-D6FC-4f65-9D91-7224C49458BB}">
                  <c15:layout/>
                </c:ext>
              </c:extLst>
            </c:dLbl>
            <c:dLbl>
              <c:idx val="1"/>
              <c:layout>
                <c:manualLayout>
                  <c:x val="-0.126315789473684"/>
                  <c:y val="-0.09375"/>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tx1"/>
                      </a:solidFill>
                      <a:latin typeface="+mn-lt"/>
                      <a:ea typeface="+mn-ea"/>
                      <a:cs typeface="+mn-cs"/>
                    </a:defRPr>
                  </a:pPr>
                </a:p>
              </c:txPr>
              <c:dLblPos val="bestFit"/>
              <c:showLegendKey val="0"/>
              <c:showVal val="1"/>
              <c:showCatName val="1"/>
              <c:showSerName val="0"/>
              <c:showPercent val="0"/>
              <c:showBubbleSize val="0"/>
              <c:extLst>
                <c:ext xmlns:c15="http://schemas.microsoft.com/office/drawing/2012/chart" uri="{CE6537A1-D6FC-4f65-9D91-7224C49458BB}">
                  <c15:layout/>
                </c:ext>
              </c:extLst>
            </c:dLbl>
            <c:dLbl>
              <c:idx val="2"/>
              <c:layout>
                <c:manualLayout>
                  <c:x val="-0.211184210526316"/>
                  <c:y val="0.0729166666666667"/>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tx1"/>
                      </a:solidFill>
                      <a:latin typeface="+mn-lt"/>
                      <a:ea typeface="+mn-ea"/>
                      <a:cs typeface="+mn-cs"/>
                    </a:defRPr>
                  </a:pPr>
                </a:p>
              </c:txPr>
              <c:dLblPos val="bestFit"/>
              <c:showLegendKey val="0"/>
              <c:showVal val="1"/>
              <c:showCatName val="1"/>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tx1"/>
                    </a:solidFill>
                    <a:latin typeface="+mn-lt"/>
                    <a:ea typeface="+mn-ea"/>
                    <a:cs typeface="+mn-cs"/>
                  </a:defRPr>
                </a:pPr>
              </a:p>
            </c:txPr>
            <c:dLblPos val="outEnd"/>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[工作簿1.xlsx]Sheet2!$A$1:$A$3</c:f>
              <c:strCache>
                <c:ptCount val="3"/>
                <c:pt idx="0">
                  <c:v>一般公共预算财政拨款收入</c:v>
                </c:pt>
                <c:pt idx="1">
                  <c:v>事业收入</c:v>
                </c:pt>
                <c:pt idx="2">
                  <c:v>其他收入</c:v>
                </c:pt>
              </c:strCache>
            </c:strRef>
          </c:cat>
          <c:val>
            <c:numRef>
              <c:f>[工作簿1.xlsx]Sheet2!$B$1:$B$3</c:f>
              <c:numCache>
                <c:formatCode>#,##0.00</c:formatCode>
                <c:ptCount val="3"/>
                <c:pt idx="0">
                  <c:v>25298.86</c:v>
                </c:pt>
                <c:pt idx="1">
                  <c:v>104045.08</c:v>
                </c:pt>
                <c:pt idx="2">
                  <c:v>1253.78</c:v>
                </c:pt>
              </c:numCache>
            </c:numRef>
          </c:val>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solidFill>
            <a:schemeClr val="tx1"/>
          </a:solidFill>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支出决算结构</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manualLayout>
                  <c:x val="0.158063413497121"/>
                  <c:y val="-0.134520511445596"/>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1"/>
              <c:layout>
                <c:manualLayout>
                  <c:x val="-0.0881696417328579"/>
                  <c:y val="0.0686573220609786"/>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[工作簿1.xlsx]Sheet3!$A$1:$A$2</c:f>
              <c:strCache>
                <c:ptCount val="2"/>
                <c:pt idx="0" c:formatCode="#,##0.000000">
                  <c:v>基本支出</c:v>
                </c:pt>
                <c:pt idx="1" c:formatCode="#,##0.000000">
                  <c:v>项目支出</c:v>
                </c:pt>
              </c:strCache>
            </c:strRef>
          </c:cat>
          <c:val>
            <c:numRef>
              <c:f>[工作簿1.xlsx]Sheet3!$B$1:$B$2</c:f>
              <c:numCache>
                <c:formatCode>#,##0.00</c:formatCode>
                <c:ptCount val="2"/>
                <c:pt idx="0">
                  <c:v>112887.27</c:v>
                </c:pt>
                <c:pt idx="1">
                  <c:v>23269.62</c:v>
                </c:pt>
              </c:numCache>
            </c:numRef>
          </c:val>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财政拨款收、支决算总计变动</a:t>
            </a:r>
          </a:p>
        </c:rich>
      </c:tx>
      <c:layout/>
      <c:overlay val="0"/>
      <c:spPr>
        <a:noFill/>
        <a:ln>
          <a:noFill/>
        </a:ln>
        <a:effectLst/>
      </c:spPr>
    </c:title>
    <c:autoTitleDeleted val="0"/>
    <c:plotArea>
      <c:layout/>
      <c:barChart>
        <c:barDir val="col"/>
        <c:grouping val="clustered"/>
        <c:varyColors val="0"/>
        <c:ser>
          <c:idx val="0"/>
          <c:order val="0"/>
          <c:spPr>
            <a:solidFill>
              <a:schemeClr val="accent2"/>
            </a:solidFill>
            <a:ln>
              <a:noFill/>
            </a:ln>
            <a:effectLst/>
          </c:spPr>
          <c:invertIfNegative val="0"/>
          <c:dPt>
            <c:idx val="1"/>
            <c:invertIfNegative val="0"/>
            <c:bubble3D val="0"/>
            <c:spPr>
              <a:solidFill>
                <a:schemeClr val="accent1"/>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[工作簿1.xlsx]Sheet4!$A$2:$A$3</c:f>
              <c:strCache>
                <c:ptCount val="2"/>
                <c:pt idx="0">
                  <c:v>2023年</c:v>
                </c:pt>
                <c:pt idx="1">
                  <c:v>2022年</c:v>
                </c:pt>
              </c:strCache>
            </c:strRef>
          </c:cat>
          <c:val>
            <c:numRef>
              <c:f>[工作簿1.xlsx]Sheet4!$B$2:$B$3</c:f>
              <c:numCache>
                <c:formatCode>#,##0.00</c:formatCode>
                <c:ptCount val="2"/>
                <c:pt idx="0">
                  <c:v>25298.86</c:v>
                </c:pt>
                <c:pt idx="1" c:formatCode="General">
                  <c:v>9725.52</c:v>
                </c:pt>
              </c:numCache>
            </c:numRef>
          </c:val>
        </c:ser>
        <c:dLbls>
          <c:showLegendKey val="0"/>
          <c:showVal val="1"/>
          <c:showCatName val="0"/>
          <c:showSerName val="0"/>
          <c:showPercent val="0"/>
          <c:showBubbleSize val="0"/>
        </c:dLbls>
        <c:gapWidth val="246"/>
        <c:overlap val="-28"/>
        <c:axId val="390402856"/>
        <c:axId val="62536264"/>
      </c:barChart>
      <c:catAx>
        <c:axId val="39040285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2536264"/>
        <c:crosses val="autoZero"/>
        <c:auto val="1"/>
        <c:lblAlgn val="ctr"/>
        <c:lblOffset val="100"/>
        <c:noMultiLvlLbl val="0"/>
      </c:catAx>
      <c:valAx>
        <c:axId val="62536264"/>
        <c:scaling>
          <c:orientation val="minMax"/>
        </c:scaling>
        <c:delete val="0"/>
        <c:axPos val="l"/>
        <c:majorGridlines>
          <c:spPr>
            <a:ln w="9525" cap="flat" cmpd="sng" algn="ctr">
              <a:solidFill>
                <a:schemeClr val="lt1">
                  <a:lumMod val="902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9040285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一般公共预算财政拨款支出决算变动情况</a:t>
            </a:r>
          </a:p>
        </c:rich>
      </c:tx>
      <c:layout>
        <c:manualLayout>
          <c:xMode val="edge"/>
          <c:yMode val="edge"/>
          <c:x val="0.182679971489665"/>
          <c:y val="0.0406797116374871"/>
        </c:manualLayout>
      </c:layout>
      <c:overlay val="0"/>
      <c:spPr>
        <a:noFill/>
        <a:ln>
          <a:noFill/>
        </a:ln>
        <a:effectLst/>
      </c:spPr>
    </c:title>
    <c:autoTitleDeleted val="0"/>
    <c:plotArea>
      <c:layout/>
      <c:barChart>
        <c:barDir val="col"/>
        <c:grouping val="clustered"/>
        <c:varyColors val="0"/>
        <c:ser>
          <c:idx val="0"/>
          <c:order val="0"/>
          <c:spPr>
            <a:solidFill>
              <a:schemeClr val="accent2"/>
            </a:solidFill>
            <a:ln>
              <a:noFill/>
            </a:ln>
            <a:effectLst/>
          </c:spPr>
          <c:invertIfNegative val="0"/>
          <c:dPt>
            <c:idx val="1"/>
            <c:invertIfNegative val="0"/>
            <c:bubble3D val="0"/>
            <c:spPr>
              <a:solidFill>
                <a:schemeClr val="accent1"/>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[工作簿1.xlsx]Sheet4!$A$2:$A$3</c:f>
              <c:strCache>
                <c:ptCount val="2"/>
                <c:pt idx="0">
                  <c:v>2023年</c:v>
                </c:pt>
                <c:pt idx="1">
                  <c:v>2022年</c:v>
                </c:pt>
              </c:strCache>
            </c:strRef>
          </c:cat>
          <c:val>
            <c:numRef>
              <c:f>[工作簿1.xlsx]Sheet4!$B$2:$B$3</c:f>
              <c:numCache>
                <c:formatCode>#,##0.00</c:formatCode>
                <c:ptCount val="2"/>
                <c:pt idx="0">
                  <c:v>25298.86</c:v>
                </c:pt>
                <c:pt idx="1" c:formatCode="General">
                  <c:v>9725.52</c:v>
                </c:pt>
              </c:numCache>
            </c:numRef>
          </c:val>
        </c:ser>
        <c:dLbls>
          <c:showLegendKey val="0"/>
          <c:showVal val="1"/>
          <c:showCatName val="0"/>
          <c:showSerName val="0"/>
          <c:showPercent val="0"/>
          <c:showBubbleSize val="0"/>
        </c:dLbls>
        <c:gapWidth val="246"/>
        <c:overlap val="-28"/>
        <c:axId val="390402856"/>
        <c:axId val="62536264"/>
      </c:barChart>
      <c:catAx>
        <c:axId val="39040285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2536264"/>
        <c:crosses val="autoZero"/>
        <c:auto val="1"/>
        <c:lblAlgn val="ctr"/>
        <c:lblOffset val="100"/>
        <c:noMultiLvlLbl val="0"/>
      </c:catAx>
      <c:valAx>
        <c:axId val="62536264"/>
        <c:scaling>
          <c:orientation val="minMax"/>
        </c:scaling>
        <c:delete val="0"/>
        <c:axPos val="l"/>
        <c:majorGridlines>
          <c:spPr>
            <a:ln w="9525" cap="flat" cmpd="sng" algn="ctr">
              <a:solidFill>
                <a:schemeClr val="lt1">
                  <a:lumMod val="902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9040285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一般公共预算财政拨款支出决算结构</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dLbl>
              <c:idx val="0"/>
              <c:layout>
                <c:manualLayout>
                  <c:x val="-0.171442038496847"/>
                  <c:y val="0.0773600117267663"/>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tx1"/>
                      </a:solidFill>
                      <a:latin typeface="+mn-lt"/>
                      <a:ea typeface="+mn-ea"/>
                      <a:cs typeface="+mn-cs"/>
                    </a:defRPr>
                  </a:pPr>
                </a:p>
              </c:txPr>
              <c:dLblPos val="bestFit"/>
              <c:showLegendKey val="0"/>
              <c:showVal val="1"/>
              <c:showCatName val="1"/>
              <c:showSerName val="0"/>
              <c:showPercent val="0"/>
              <c:showBubbleSize val="0"/>
              <c:extLst>
                <c:ext xmlns:c15="http://schemas.microsoft.com/office/drawing/2012/chart" uri="{CE6537A1-D6FC-4f65-9D91-7224C49458BB}">
                  <c15:layout/>
                </c:ext>
              </c:extLst>
            </c:dLbl>
            <c:dLbl>
              <c:idx val="1"/>
              <c:layout>
                <c:manualLayout>
                  <c:x val="0.212383538310964"/>
                  <c:y val="0.232675535033715"/>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tx1"/>
                      </a:solidFill>
                      <a:latin typeface="+mn-lt"/>
                      <a:ea typeface="+mn-ea"/>
                      <a:cs typeface="+mn-cs"/>
                    </a:defRPr>
                  </a:pPr>
                </a:p>
              </c:txPr>
              <c:dLblPos val="bestFit"/>
              <c:showLegendKey val="0"/>
              <c:showVal val="1"/>
              <c:showCatName val="1"/>
              <c:showSerName val="0"/>
              <c:showPercent val="0"/>
              <c:showBubbleSize val="0"/>
              <c:extLst>
                <c:ext xmlns:c15="http://schemas.microsoft.com/office/drawing/2012/chart" uri="{CE6537A1-D6FC-4f65-9D91-7224C49458BB}">
                  <c15:layout/>
                </c:ext>
              </c:extLst>
            </c:dLbl>
            <c:dLbl>
              <c:idx val="2"/>
              <c:layout>
                <c:manualLayout>
                  <c:x val="-0.197368421052632"/>
                  <c:y val="-0.03125"/>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tx1"/>
                      </a:solidFill>
                      <a:latin typeface="+mn-lt"/>
                      <a:ea typeface="+mn-ea"/>
                      <a:cs typeface="+mn-cs"/>
                    </a:defRPr>
                  </a:pPr>
                </a:p>
              </c:txPr>
              <c:dLblPos val="bestFit"/>
              <c:showLegendKey val="0"/>
              <c:showVal val="1"/>
              <c:showCatName val="1"/>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[工作簿1.xlsx]Sheet5!$A$1:$A$3</c:f>
              <c:strCache>
                <c:ptCount val="3"/>
                <c:pt idx="0">
                  <c:v>科学技术支出</c:v>
                </c:pt>
                <c:pt idx="1">
                  <c:v>社会保障和就业支出</c:v>
                </c:pt>
                <c:pt idx="2">
                  <c:v>卫生健康支出</c:v>
                </c:pt>
              </c:strCache>
            </c:strRef>
          </c:cat>
          <c:val>
            <c:numRef>
              <c:f>[工作簿1.xlsx]Sheet5!$B$1:$B$3</c:f>
              <c:numCache>
                <c:formatCode>General</c:formatCode>
                <c:ptCount val="3"/>
                <c:pt idx="0">
                  <c:v>2.7</c:v>
                </c:pt>
                <c:pt idx="1" c:formatCode="#,##0.00">
                  <c:v>2843.85</c:v>
                </c:pt>
                <c:pt idx="2" c:formatCode="#,##0.00">
                  <c:v>22452.31</c:v>
                </c:pt>
              </c:numCache>
            </c:numRef>
          </c:val>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4">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cs:styleClr val="auto"/>
    </cs:fontRef>
    <cs:defRPr sz="1000" b="1" i="0" u="none" strike="noStrike" kern="1200" spc="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4">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cs:styleClr val="auto"/>
    </cs:fontRef>
    <cs:defRPr sz="1000" b="1" i="0" u="none" strike="noStrike" kern="1200" spc="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26</Pages>
  <Words>8746</Words>
  <Characters>9627</Characters>
  <Lines>54</Lines>
  <Paragraphs>15</Paragraphs>
  <TotalTime>448</TotalTime>
  <ScaleCrop>false</ScaleCrop>
  <LinksUpToDate>false</LinksUpToDate>
  <CharactersWithSpaces>9924</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本宝宝~</cp:lastModifiedBy>
  <cp:lastPrinted>2024-09-29T06:52:00Z</cp:lastPrinted>
  <dcterms:modified xsi:type="dcterms:W3CDTF">2024-10-09T03:41:53Z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A57F413F3C1C45B1A013D0F1CE7D6A8C</vt:lpwstr>
  </property>
</Properties>
</file>