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190" w:name="_GoBack"/>
      <w:bookmarkEnd w:id="190"/>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78441"/>
      <w:bookmarkStart w:id="3" w:name="_Toc16896"/>
      <w:bookmarkStart w:id="4" w:name="_Toc15396475"/>
      <w:bookmarkStart w:id="5" w:name="_Toc25267"/>
      <w:bookmarkStart w:id="6" w:name="_Toc26537"/>
      <w:bookmarkStart w:id="7" w:name="_Toc7259"/>
      <w:bookmarkStart w:id="8" w:name="_Toc15377193"/>
      <w:bookmarkStart w:id="9" w:name="_Toc15396597"/>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2</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bookmarkEnd w:id="6"/>
      <w:bookmarkEnd w:id="7"/>
      <w:bookmarkEnd w:id="8"/>
      <w:bookmarkEnd w:id="9"/>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0" w:name="_Toc15377426"/>
      <w:bookmarkStart w:id="11" w:name="_Toc7653"/>
      <w:bookmarkStart w:id="12" w:name="_Toc15396476"/>
      <w:bookmarkStart w:id="13" w:name="_Toc31992"/>
      <w:bookmarkStart w:id="14" w:name="_Toc27687"/>
      <w:bookmarkStart w:id="15" w:name="_Toc15396598"/>
      <w:bookmarkStart w:id="16" w:name="_Toc15378442"/>
      <w:bookmarkStart w:id="17" w:name="_Toc20539"/>
      <w:bookmarkStart w:id="18" w:name="_Toc15377194"/>
      <w:r>
        <w:rPr>
          <w:rFonts w:hint="eastAsia" w:ascii="方正小标宋简体" w:hAnsi="方正小标宋简体" w:eastAsia="方正小标宋简体" w:cs="方正小标宋简体"/>
          <w:sz w:val="72"/>
          <w:szCs w:val="72"/>
        </w:rPr>
        <w:t>凉山州</w:t>
      </w:r>
      <w:bookmarkEnd w:id="0"/>
      <w:bookmarkStart w:id="19" w:name="_Toc15306268"/>
      <w:r>
        <w:rPr>
          <w:rFonts w:hint="eastAsia" w:ascii="方正小标宋简体" w:hAnsi="方正小标宋简体" w:eastAsia="方正小标宋简体" w:cs="方正小标宋简体"/>
          <w:sz w:val="72"/>
          <w:szCs w:val="72"/>
          <w:lang w:eastAsia="zh-CN"/>
        </w:rPr>
        <w:t>第一人民医院</w:t>
      </w:r>
      <w:r>
        <w:rPr>
          <w:rFonts w:hint="eastAsia" w:ascii="方正小标宋简体" w:hAnsi="方正小标宋简体" w:eastAsia="方正小标宋简体" w:cs="方正小标宋简体"/>
          <w:sz w:val="72"/>
          <w:szCs w:val="72"/>
        </w:rPr>
        <w:t>单位决算</w:t>
      </w:r>
      <w:bookmarkEnd w:id="10"/>
      <w:bookmarkEnd w:id="11"/>
      <w:bookmarkEnd w:id="12"/>
      <w:bookmarkEnd w:id="13"/>
      <w:bookmarkEnd w:id="14"/>
      <w:bookmarkEnd w:id="15"/>
      <w:bookmarkEnd w:id="16"/>
      <w:bookmarkEnd w:id="17"/>
      <w:bookmarkEnd w:id="18"/>
      <w:bookmarkEnd w:id="19"/>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sdt>
      <w:sdtPr>
        <w:rPr>
          <w:rFonts w:ascii="宋体" w:hAnsi="宋体" w:eastAsia="宋体" w:cs="Times New Roman"/>
          <w:kern w:val="2"/>
          <w:sz w:val="21"/>
          <w:szCs w:val="24"/>
          <w:lang w:val="en-US" w:eastAsia="zh-CN" w:bidi="ar-SA"/>
        </w:rPr>
        <w:id w:val="147466464"/>
        <w15:color w:val="DBDBDB"/>
        <w:docPartObj>
          <w:docPartGallery w:val="Table of Contents"/>
          <w:docPartUnique/>
        </w:docPartObj>
      </w:sdtPr>
      <w:sdtEndPr>
        <w:rPr>
          <w:rFonts w:ascii="仿宋_GB2312" w:hAnsi="Times New Roman" w:eastAsia="仿宋_GB2312" w:cs="Times New Roman"/>
          <w:kern w:val="0"/>
          <w:sz w:val="30"/>
          <w:szCs w:val="24"/>
          <w:lang w:val="en-US" w:eastAsia="zh-CN" w:bidi="ar-SA"/>
        </w:rPr>
      </w:sdtEndPr>
      <w:sdtContent>
        <w:p>
          <w:pPr>
            <w:pStyle w:val="10"/>
          </w:pPr>
          <w:bookmarkStart w:id="20" w:name="_Toc15377196"/>
          <w:bookmarkStart w:id="21" w:name="_Toc15396599"/>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22</w:t>
          </w:r>
          <w:r>
            <w:rPr>
              <w:rFonts w:hint="eastAsia"/>
              <w:color w:val="auto"/>
              <w:highlight w:val="none"/>
            </w:rPr>
            <w:t>日</w:t>
          </w:r>
          <w:r>
            <w:fldChar w:fldCharType="begin"/>
          </w:r>
          <w:r>
            <w:instrText xml:space="preserve">TOC \o "1-2" \h \u </w:instrText>
          </w:r>
          <w:r>
            <w:fldChar w:fldCharType="separate"/>
          </w:r>
        </w:p>
        <w:p>
          <w:pPr>
            <w:pStyle w:val="10"/>
            <w:tabs>
              <w:tab w:val="right" w:leader="dot" w:pos="8306"/>
              <w:tab w:val="clear" w:pos="8296"/>
            </w:tabs>
          </w:pPr>
          <w:r>
            <w:fldChar w:fldCharType="begin"/>
          </w:r>
          <w:r>
            <w:instrText xml:space="preserve"> HYPERLINK \l _Toc12201 </w:instrText>
          </w:r>
          <w:r>
            <w:fldChar w:fldCharType="separate"/>
          </w:r>
          <w:r>
            <w:rPr>
              <w:rFonts w:hint="eastAsia" w:ascii="黑体" w:hAnsi="黑体" w:eastAsia="黑体"/>
            </w:rPr>
            <w:t>第一部分 单位</w:t>
          </w:r>
          <w:r>
            <w:rPr>
              <w:rFonts w:hint="eastAsia" w:ascii="黑体" w:hAnsi="黑体" w:eastAsia="黑体"/>
              <w:bCs w:val="0"/>
            </w:rPr>
            <w:t>概况</w:t>
          </w:r>
          <w:r>
            <w:tab/>
          </w:r>
          <w:r>
            <w:fldChar w:fldCharType="begin"/>
          </w:r>
          <w:r>
            <w:instrText xml:space="preserve"> PAGEREF _Toc12201 \h </w:instrText>
          </w:r>
          <w:r>
            <w:fldChar w:fldCharType="separate"/>
          </w:r>
          <w:r>
            <w:t>3</w:t>
          </w:r>
          <w:r>
            <w:fldChar w:fldCharType="end"/>
          </w:r>
          <w:r>
            <w:fldChar w:fldCharType="end"/>
          </w:r>
        </w:p>
        <w:p>
          <w:pPr>
            <w:pStyle w:val="11"/>
            <w:tabs>
              <w:tab w:val="right" w:leader="dot" w:pos="8306"/>
              <w:tab w:val="clear" w:pos="8296"/>
            </w:tabs>
          </w:pPr>
          <w:r>
            <w:fldChar w:fldCharType="begin"/>
          </w:r>
          <w:r>
            <w:instrText xml:space="preserve"> HYPERLINK \l _Toc3498 </w:instrText>
          </w:r>
          <w:r>
            <w:fldChar w:fldCharType="separate"/>
          </w:r>
          <w:r>
            <w:rPr>
              <w:rFonts w:hint="eastAsia" w:ascii="黑体" w:hAnsi="黑体" w:eastAsia="黑体"/>
              <w:bCs w:val="0"/>
            </w:rPr>
            <w:t>一、</w:t>
          </w:r>
          <w:r>
            <w:rPr>
              <w:rFonts w:hint="eastAsia" w:ascii="黑体" w:hAnsi="黑体" w:eastAsia="黑体"/>
              <w:bCs w:val="0"/>
              <w:lang w:eastAsia="zh-CN"/>
            </w:rPr>
            <w:t>主要职责</w:t>
          </w:r>
          <w:r>
            <w:tab/>
          </w:r>
          <w:r>
            <w:fldChar w:fldCharType="begin"/>
          </w:r>
          <w:r>
            <w:instrText xml:space="preserve"> PAGEREF _Toc3498 \h </w:instrText>
          </w:r>
          <w:r>
            <w:fldChar w:fldCharType="separate"/>
          </w:r>
          <w:r>
            <w:t>3</w:t>
          </w:r>
          <w:r>
            <w:fldChar w:fldCharType="end"/>
          </w:r>
          <w:r>
            <w:fldChar w:fldCharType="end"/>
          </w:r>
        </w:p>
        <w:p>
          <w:pPr>
            <w:pStyle w:val="11"/>
            <w:tabs>
              <w:tab w:val="right" w:leader="dot" w:pos="8306"/>
              <w:tab w:val="clear" w:pos="8296"/>
            </w:tabs>
          </w:pPr>
          <w:r>
            <w:fldChar w:fldCharType="begin"/>
          </w:r>
          <w:r>
            <w:instrText xml:space="preserve"> HYPERLINK \l _Toc10870 </w:instrText>
          </w:r>
          <w:r>
            <w:fldChar w:fldCharType="separate"/>
          </w:r>
          <w:r>
            <w:rPr>
              <w:rFonts w:hint="eastAsia" w:ascii="黑体" w:hAnsi="黑体" w:eastAsia="黑体"/>
            </w:rPr>
            <w:t>二、</w:t>
          </w:r>
          <w:r>
            <w:rPr>
              <w:rFonts w:hint="eastAsia" w:ascii="黑体" w:hAnsi="黑体" w:eastAsia="黑体"/>
              <w:lang w:eastAsia="zh-CN"/>
            </w:rPr>
            <w:t>机构设置</w:t>
          </w:r>
          <w:r>
            <w:tab/>
          </w:r>
          <w:r>
            <w:fldChar w:fldCharType="begin"/>
          </w:r>
          <w:r>
            <w:instrText xml:space="preserve"> PAGEREF _Toc10870 \h </w:instrText>
          </w:r>
          <w:r>
            <w:fldChar w:fldCharType="separate"/>
          </w:r>
          <w:r>
            <w:t>8</w:t>
          </w:r>
          <w:r>
            <w:fldChar w:fldCharType="end"/>
          </w:r>
          <w:r>
            <w:fldChar w:fldCharType="end"/>
          </w:r>
        </w:p>
        <w:p>
          <w:pPr>
            <w:pStyle w:val="10"/>
            <w:tabs>
              <w:tab w:val="right" w:leader="dot" w:pos="8306"/>
              <w:tab w:val="clear" w:pos="8296"/>
            </w:tabs>
          </w:pPr>
          <w:r>
            <w:fldChar w:fldCharType="begin"/>
          </w:r>
          <w:r>
            <w:instrText xml:space="preserve"> HYPERLINK \l _Toc30899 </w:instrText>
          </w:r>
          <w:r>
            <w:fldChar w:fldCharType="separate"/>
          </w:r>
          <w:r>
            <w:rPr>
              <w:rFonts w:hint="eastAsia" w:ascii="黑体" w:hAnsi="黑体" w:eastAsia="黑体"/>
            </w:rPr>
            <w:t>第二部分 202</w:t>
          </w:r>
          <w:r>
            <w:rPr>
              <w:rFonts w:hint="eastAsia" w:ascii="黑体" w:hAnsi="黑体" w:eastAsia="黑体"/>
              <w:lang w:val="en-US" w:eastAsia="zh-CN"/>
            </w:rPr>
            <w:t>2</w:t>
          </w:r>
          <w:r>
            <w:rPr>
              <w:rFonts w:hint="eastAsia" w:ascii="黑体" w:hAnsi="黑体" w:eastAsia="黑体"/>
            </w:rPr>
            <w:t>年度</w:t>
          </w:r>
          <w:r>
            <w:rPr>
              <w:rFonts w:hint="eastAsia" w:ascii="黑体" w:hAnsi="黑体" w:eastAsia="黑体"/>
              <w:bCs/>
            </w:rPr>
            <w:t>单位决算情况说明</w:t>
          </w:r>
          <w:r>
            <w:tab/>
          </w:r>
          <w:r>
            <w:fldChar w:fldCharType="begin"/>
          </w:r>
          <w:r>
            <w:instrText xml:space="preserve"> PAGEREF _Toc30899 \h </w:instrText>
          </w:r>
          <w:r>
            <w:fldChar w:fldCharType="separate"/>
          </w:r>
          <w:r>
            <w:t>9</w:t>
          </w:r>
          <w:r>
            <w:fldChar w:fldCharType="end"/>
          </w:r>
          <w:r>
            <w:fldChar w:fldCharType="end"/>
          </w:r>
        </w:p>
        <w:p>
          <w:pPr>
            <w:pStyle w:val="11"/>
            <w:tabs>
              <w:tab w:val="right" w:leader="dot" w:pos="8306"/>
              <w:tab w:val="clear" w:pos="8296"/>
            </w:tabs>
          </w:pPr>
          <w:r>
            <w:fldChar w:fldCharType="begin"/>
          </w:r>
          <w:r>
            <w:instrText xml:space="preserve"> HYPERLINK \l _Toc1906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_Toc1906 \h </w:instrText>
          </w:r>
          <w:r>
            <w:fldChar w:fldCharType="separate"/>
          </w:r>
          <w:r>
            <w:t>9</w:t>
          </w:r>
          <w:r>
            <w:fldChar w:fldCharType="end"/>
          </w:r>
          <w:r>
            <w:fldChar w:fldCharType="end"/>
          </w:r>
        </w:p>
        <w:p>
          <w:pPr>
            <w:pStyle w:val="11"/>
            <w:tabs>
              <w:tab w:val="right" w:leader="dot" w:pos="8306"/>
              <w:tab w:val="clear" w:pos="8296"/>
            </w:tabs>
          </w:pPr>
          <w:r>
            <w:fldChar w:fldCharType="begin"/>
          </w:r>
          <w:r>
            <w:instrText xml:space="preserve"> HYPERLINK \l _Toc28162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_Toc28162 \h </w:instrText>
          </w:r>
          <w:r>
            <w:fldChar w:fldCharType="separate"/>
          </w:r>
          <w:r>
            <w:t>9</w:t>
          </w:r>
          <w:r>
            <w:fldChar w:fldCharType="end"/>
          </w:r>
          <w:r>
            <w:fldChar w:fldCharType="end"/>
          </w:r>
        </w:p>
        <w:p>
          <w:pPr>
            <w:pStyle w:val="11"/>
            <w:tabs>
              <w:tab w:val="right" w:leader="dot" w:pos="8306"/>
              <w:tab w:val="clear" w:pos="8296"/>
            </w:tabs>
          </w:pPr>
          <w:r>
            <w:fldChar w:fldCharType="begin"/>
          </w:r>
          <w:r>
            <w:instrText xml:space="preserve"> HYPERLINK \l _Toc16642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_Toc16642 \h </w:instrText>
          </w:r>
          <w:r>
            <w:fldChar w:fldCharType="separate"/>
          </w:r>
          <w:r>
            <w:t>10</w:t>
          </w:r>
          <w:r>
            <w:fldChar w:fldCharType="end"/>
          </w:r>
          <w:r>
            <w:fldChar w:fldCharType="end"/>
          </w:r>
        </w:p>
        <w:p>
          <w:pPr>
            <w:pStyle w:val="11"/>
            <w:tabs>
              <w:tab w:val="right" w:leader="dot" w:pos="8306"/>
              <w:tab w:val="clear" w:pos="8296"/>
            </w:tabs>
          </w:pPr>
          <w:r>
            <w:fldChar w:fldCharType="begin"/>
          </w:r>
          <w:r>
            <w:instrText xml:space="preserve"> HYPERLINK \l _Toc9351 </w:instrText>
          </w:r>
          <w:r>
            <w:fldChar w:fldCharType="separate"/>
          </w:r>
          <w:r>
            <w:rPr>
              <w:rFonts w:hint="eastAsia" w:ascii="黑体" w:hAnsi="黑体" w:eastAsia="黑体"/>
              <w:szCs w:val="32"/>
            </w:rPr>
            <w:t>四、</w:t>
          </w:r>
          <w:r>
            <w:rPr>
              <w:rFonts w:hint="eastAsia" w:ascii="黑体" w:hAnsi="黑体" w:eastAsia="黑体"/>
              <w:szCs w:val="32"/>
              <w:lang w:val="en-US" w:eastAsia="zh-CN"/>
            </w:rPr>
            <w:t xml:space="preserve"> </w:t>
          </w:r>
          <w:r>
            <w:rPr>
              <w:rFonts w:hint="eastAsia" w:ascii="黑体" w:hAnsi="黑体" w:eastAsia="黑体"/>
              <w:szCs w:val="32"/>
            </w:rPr>
            <w:t>财</w:t>
          </w:r>
          <w:r>
            <w:rPr>
              <w:rFonts w:hint="eastAsia" w:ascii="黑体" w:hAnsi="黑体" w:eastAsia="黑体"/>
            </w:rPr>
            <w:t>政拨款收入支出决算总体情况说明</w:t>
          </w:r>
          <w:r>
            <w:tab/>
          </w:r>
          <w:r>
            <w:fldChar w:fldCharType="begin"/>
          </w:r>
          <w:r>
            <w:instrText xml:space="preserve"> PAGEREF _Toc9351 \h </w:instrText>
          </w:r>
          <w:r>
            <w:fldChar w:fldCharType="separate"/>
          </w:r>
          <w:r>
            <w:t>11</w:t>
          </w:r>
          <w:r>
            <w:fldChar w:fldCharType="end"/>
          </w:r>
          <w:r>
            <w:fldChar w:fldCharType="end"/>
          </w:r>
        </w:p>
        <w:p>
          <w:pPr>
            <w:pStyle w:val="11"/>
            <w:tabs>
              <w:tab w:val="right" w:leader="dot" w:pos="8306"/>
              <w:tab w:val="clear" w:pos="8296"/>
            </w:tabs>
          </w:pPr>
          <w:r>
            <w:fldChar w:fldCharType="begin"/>
          </w:r>
          <w:r>
            <w:instrText xml:space="preserve"> HYPERLINK \l _Toc21858 </w:instrText>
          </w:r>
          <w:r>
            <w:fldChar w:fldCharType="separate"/>
          </w:r>
          <w:r>
            <w:rPr>
              <w:rFonts w:hint="eastAsia" w:ascii="黑体" w:hAnsi="黑体" w:eastAsia="黑体"/>
              <w:szCs w:val="32"/>
            </w:rPr>
            <w:t>五、</w:t>
          </w:r>
          <w:r>
            <w:rPr>
              <w:rFonts w:hint="eastAsia" w:ascii="黑体" w:hAnsi="黑体" w:eastAsia="黑体"/>
              <w:szCs w:val="32"/>
              <w:lang w:val="en-US" w:eastAsia="zh-CN"/>
            </w:rPr>
            <w:t xml:space="preserve"> </w:t>
          </w:r>
          <w:r>
            <w:rPr>
              <w:rFonts w:hint="eastAsia" w:ascii="黑体" w:hAnsi="黑体" w:eastAsia="黑体"/>
              <w:szCs w:val="32"/>
            </w:rPr>
            <w:t>一</w:t>
          </w:r>
          <w:r>
            <w:rPr>
              <w:rFonts w:hint="eastAsia" w:ascii="黑体" w:hAnsi="黑体" w:eastAsia="黑体"/>
            </w:rPr>
            <w:t>般公共预算财政拨款支出决算情况说明</w:t>
          </w:r>
          <w:r>
            <w:tab/>
          </w:r>
          <w:r>
            <w:fldChar w:fldCharType="begin"/>
          </w:r>
          <w:r>
            <w:instrText xml:space="preserve"> PAGEREF _Toc21858 \h </w:instrText>
          </w:r>
          <w:r>
            <w:fldChar w:fldCharType="separate"/>
          </w:r>
          <w:r>
            <w:t>12</w:t>
          </w:r>
          <w:r>
            <w:fldChar w:fldCharType="end"/>
          </w:r>
          <w:r>
            <w:fldChar w:fldCharType="end"/>
          </w:r>
        </w:p>
        <w:p>
          <w:pPr>
            <w:pStyle w:val="11"/>
            <w:tabs>
              <w:tab w:val="right" w:leader="dot" w:pos="8306"/>
              <w:tab w:val="clear" w:pos="8296"/>
            </w:tabs>
          </w:pPr>
          <w:r>
            <w:fldChar w:fldCharType="begin"/>
          </w:r>
          <w:r>
            <w:instrText xml:space="preserve"> HYPERLINK \l _Toc15735 </w:instrText>
          </w:r>
          <w:r>
            <w:fldChar w:fldCharType="separate"/>
          </w:r>
          <w:r>
            <w:rPr>
              <w:rFonts w:hint="eastAsia" w:ascii="黑体" w:eastAsia="黑体"/>
              <w:szCs w:val="32"/>
            </w:rPr>
            <w:t>六、</w:t>
          </w:r>
          <w:r>
            <w:rPr>
              <w:rFonts w:hint="eastAsia" w:ascii="黑体" w:eastAsia="黑体"/>
              <w:szCs w:val="32"/>
              <w:lang w:val="en-US" w:eastAsia="zh-CN"/>
            </w:rPr>
            <w:t xml:space="preserve"> </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_Toc15735 \h </w:instrText>
          </w:r>
          <w:r>
            <w:fldChar w:fldCharType="separate"/>
          </w:r>
          <w:r>
            <w:t>16</w:t>
          </w:r>
          <w:r>
            <w:fldChar w:fldCharType="end"/>
          </w:r>
          <w:r>
            <w:fldChar w:fldCharType="end"/>
          </w:r>
        </w:p>
        <w:p>
          <w:pPr>
            <w:pStyle w:val="11"/>
            <w:tabs>
              <w:tab w:val="right" w:leader="dot" w:pos="8306"/>
              <w:tab w:val="clear" w:pos="8296"/>
            </w:tabs>
          </w:pPr>
          <w:r>
            <w:fldChar w:fldCharType="begin"/>
          </w:r>
          <w:r>
            <w:instrText xml:space="preserve"> HYPERLINK \l _Toc24953 </w:instrText>
          </w:r>
          <w:r>
            <w:fldChar w:fldCharType="separate"/>
          </w:r>
          <w:r>
            <w:rPr>
              <w:rFonts w:hint="eastAsia" w:ascii="黑体" w:eastAsia="黑体"/>
              <w:szCs w:val="32"/>
            </w:rPr>
            <w:t>七、</w:t>
          </w:r>
          <w:r>
            <w:rPr>
              <w:rFonts w:hint="eastAsia" w:ascii="黑体" w:eastAsia="黑体"/>
              <w:szCs w:val="32"/>
              <w:lang w:val="en-US" w:eastAsia="zh-CN"/>
            </w:rPr>
            <w:t xml:space="preserve"> </w:t>
          </w:r>
          <w:r>
            <w:rPr>
              <w:rFonts w:hint="eastAsia" w:ascii="黑体" w:hAnsi="黑体" w:eastAsia="黑体"/>
              <w:highlight w:val="none"/>
            </w:rPr>
            <w:t>财政拨款“三公”经费支出决算情况说明</w:t>
          </w:r>
          <w:r>
            <w:tab/>
          </w:r>
          <w:r>
            <w:fldChar w:fldCharType="begin"/>
          </w:r>
          <w:r>
            <w:instrText xml:space="preserve"> PAGEREF _Toc24953 \h </w:instrText>
          </w:r>
          <w:r>
            <w:fldChar w:fldCharType="separate"/>
          </w:r>
          <w:r>
            <w:t>16</w:t>
          </w:r>
          <w:r>
            <w:fldChar w:fldCharType="end"/>
          </w:r>
          <w:r>
            <w:fldChar w:fldCharType="end"/>
          </w:r>
        </w:p>
        <w:p>
          <w:pPr>
            <w:pStyle w:val="11"/>
            <w:tabs>
              <w:tab w:val="right" w:leader="dot" w:pos="8306"/>
              <w:tab w:val="clear" w:pos="8296"/>
            </w:tabs>
          </w:pPr>
          <w:r>
            <w:fldChar w:fldCharType="begin"/>
          </w:r>
          <w:r>
            <w:instrText xml:space="preserve"> HYPERLINK \l _Toc15393 </w:instrText>
          </w:r>
          <w:r>
            <w:fldChar w:fldCharType="separate"/>
          </w:r>
          <w:r>
            <w:rPr>
              <w:rFonts w:hint="eastAsia" w:ascii="黑体" w:eastAsia="黑体"/>
              <w:szCs w:val="32"/>
            </w:rPr>
            <w:t>八、</w:t>
          </w:r>
          <w:r>
            <w:rPr>
              <w:rFonts w:hint="eastAsia" w:ascii="黑体" w:eastAsia="黑体"/>
              <w:szCs w:val="32"/>
              <w:lang w:val="en-US" w:eastAsia="zh-CN"/>
            </w:rPr>
            <w:t xml:space="preserve"> </w:t>
          </w:r>
          <w:r>
            <w:rPr>
              <w:rFonts w:hint="eastAsia" w:ascii="黑体" w:hAnsi="黑体" w:eastAsia="黑体"/>
            </w:rPr>
            <w:t>政府性基金预算支出决算情况说明</w:t>
          </w:r>
          <w:r>
            <w:tab/>
          </w:r>
          <w:r>
            <w:fldChar w:fldCharType="begin"/>
          </w:r>
          <w:r>
            <w:instrText xml:space="preserve"> PAGEREF _Toc15393 \h </w:instrText>
          </w:r>
          <w:r>
            <w:fldChar w:fldCharType="separate"/>
          </w:r>
          <w:r>
            <w:t>18</w:t>
          </w:r>
          <w:r>
            <w:fldChar w:fldCharType="end"/>
          </w:r>
          <w:r>
            <w:fldChar w:fldCharType="end"/>
          </w:r>
        </w:p>
        <w:p>
          <w:pPr>
            <w:pStyle w:val="11"/>
            <w:tabs>
              <w:tab w:val="right" w:leader="dot" w:pos="8306"/>
              <w:tab w:val="clear" w:pos="8296"/>
            </w:tabs>
          </w:pPr>
          <w:r>
            <w:fldChar w:fldCharType="begin"/>
          </w:r>
          <w:r>
            <w:instrText xml:space="preserve"> HYPERLINK \l _Toc1483 </w:instrText>
          </w:r>
          <w:r>
            <w:fldChar w:fldCharType="separate"/>
          </w:r>
          <w:r>
            <w:rPr>
              <w:rFonts w:hint="eastAsia" w:ascii="黑体" w:hAnsi="黑体" w:eastAsia="黑体"/>
            </w:rPr>
            <w:t>九、 国有资本经营预算支出决算情况说明</w:t>
          </w:r>
          <w:r>
            <w:tab/>
          </w:r>
          <w:r>
            <w:fldChar w:fldCharType="begin"/>
          </w:r>
          <w:r>
            <w:instrText xml:space="preserve"> PAGEREF _Toc1483 \h </w:instrText>
          </w:r>
          <w:r>
            <w:fldChar w:fldCharType="separate"/>
          </w:r>
          <w:r>
            <w:t>18</w:t>
          </w:r>
          <w:r>
            <w:fldChar w:fldCharType="end"/>
          </w:r>
          <w:r>
            <w:fldChar w:fldCharType="end"/>
          </w:r>
        </w:p>
        <w:p>
          <w:pPr>
            <w:pStyle w:val="11"/>
            <w:tabs>
              <w:tab w:val="right" w:leader="dot" w:pos="8306"/>
              <w:tab w:val="clear" w:pos="8296"/>
            </w:tabs>
          </w:pPr>
          <w:r>
            <w:fldChar w:fldCharType="begin"/>
          </w:r>
          <w:r>
            <w:instrText xml:space="preserve"> HYPERLINK \l _Toc21210 </w:instrText>
          </w:r>
          <w:r>
            <w:fldChar w:fldCharType="separate"/>
          </w:r>
          <w:r>
            <w:rPr>
              <w:rFonts w:hint="eastAsia" w:ascii="黑体" w:hAnsi="黑体" w:eastAsia="黑体"/>
            </w:rPr>
            <w:t>十、 其他重要事项的情况说明</w:t>
          </w:r>
          <w:r>
            <w:tab/>
          </w:r>
          <w:r>
            <w:fldChar w:fldCharType="begin"/>
          </w:r>
          <w:r>
            <w:instrText xml:space="preserve"> PAGEREF _Toc21210 \h </w:instrText>
          </w:r>
          <w:r>
            <w:fldChar w:fldCharType="separate"/>
          </w:r>
          <w:r>
            <w:t>18</w:t>
          </w:r>
          <w:r>
            <w:fldChar w:fldCharType="end"/>
          </w:r>
          <w:r>
            <w:fldChar w:fldCharType="end"/>
          </w:r>
        </w:p>
        <w:p>
          <w:pPr>
            <w:pStyle w:val="10"/>
            <w:tabs>
              <w:tab w:val="right" w:leader="dot" w:pos="8306"/>
              <w:tab w:val="clear" w:pos="8296"/>
            </w:tabs>
          </w:pPr>
          <w:r>
            <w:fldChar w:fldCharType="begin"/>
          </w:r>
          <w:r>
            <w:instrText xml:space="preserve"> HYPERLINK \l _Toc2231 </w:instrText>
          </w:r>
          <w:r>
            <w:fldChar w:fldCharType="separate"/>
          </w:r>
          <w:r>
            <w:rPr>
              <w:rFonts w:hint="eastAsia" w:ascii="黑体" w:hAnsi="黑体" w:eastAsia="黑体" w:cs="黑体"/>
              <w:szCs w:val="44"/>
            </w:rPr>
            <w:t xml:space="preserve">第三部分 </w:t>
          </w:r>
          <w:r>
            <w:rPr>
              <w:rFonts w:hint="eastAsia" w:ascii="黑体" w:hAnsi="黑体" w:eastAsia="黑体"/>
              <w:szCs w:val="44"/>
              <w:highlight w:val="none"/>
            </w:rPr>
            <w:t>名</w:t>
          </w:r>
          <w:r>
            <w:rPr>
              <w:rFonts w:hint="eastAsia" w:ascii="黑体" w:hAnsi="黑体" w:eastAsia="黑体"/>
              <w:highlight w:val="none"/>
            </w:rPr>
            <w:t>词解释</w:t>
          </w:r>
          <w:r>
            <w:tab/>
          </w:r>
          <w:r>
            <w:fldChar w:fldCharType="begin"/>
          </w:r>
          <w:r>
            <w:instrText xml:space="preserve"> PAGEREF _Toc2231 \h </w:instrText>
          </w:r>
          <w:r>
            <w:fldChar w:fldCharType="separate"/>
          </w:r>
          <w:r>
            <w:t>20</w:t>
          </w:r>
          <w:r>
            <w:fldChar w:fldCharType="end"/>
          </w:r>
          <w:r>
            <w:fldChar w:fldCharType="end"/>
          </w:r>
        </w:p>
        <w:p>
          <w:pPr>
            <w:pStyle w:val="10"/>
            <w:tabs>
              <w:tab w:val="right" w:leader="dot" w:pos="8306"/>
              <w:tab w:val="clear" w:pos="8296"/>
            </w:tabs>
          </w:pPr>
          <w:r>
            <w:fldChar w:fldCharType="begin"/>
          </w:r>
          <w:r>
            <w:instrText xml:space="preserve"> HYPERLINK \l _Toc32373 </w:instrText>
          </w:r>
          <w:r>
            <w:fldChar w:fldCharType="separate"/>
          </w:r>
          <w:r>
            <w:rPr>
              <w:rFonts w:hint="eastAsia" w:ascii="黑体" w:hAnsi="黑体" w:eastAsia="黑体" w:cs="黑体"/>
              <w:szCs w:val="44"/>
            </w:rPr>
            <w:t>第</w:t>
          </w:r>
          <w:r>
            <w:rPr>
              <w:rFonts w:hint="eastAsia" w:ascii="黑体" w:hAnsi="黑体" w:eastAsia="黑体" w:cs="黑体"/>
              <w:szCs w:val="44"/>
              <w:lang w:eastAsia="zh-CN"/>
            </w:rPr>
            <w:t>四</w:t>
          </w:r>
          <w:r>
            <w:rPr>
              <w:rFonts w:hint="eastAsia" w:ascii="黑体" w:hAnsi="黑体" w:eastAsia="黑体" w:cs="黑体"/>
              <w:szCs w:val="44"/>
            </w:rPr>
            <w:t xml:space="preserve">部分 </w:t>
          </w:r>
          <w:r>
            <w:rPr>
              <w:rFonts w:hint="eastAsia" w:ascii="黑体" w:hAnsi="黑体" w:eastAsia="黑体"/>
              <w:szCs w:val="44"/>
              <w:highlight w:val="none"/>
              <w:lang w:eastAsia="zh-CN"/>
            </w:rPr>
            <w:t>附件</w:t>
          </w:r>
          <w:r>
            <w:tab/>
          </w:r>
          <w:r>
            <w:fldChar w:fldCharType="begin"/>
          </w:r>
          <w:r>
            <w:instrText xml:space="preserve"> PAGEREF _Toc32373 \h </w:instrText>
          </w:r>
          <w:r>
            <w:fldChar w:fldCharType="separate"/>
          </w:r>
          <w:r>
            <w:t>23</w:t>
          </w:r>
          <w:r>
            <w:fldChar w:fldCharType="end"/>
          </w:r>
          <w:r>
            <w:fldChar w:fldCharType="end"/>
          </w:r>
        </w:p>
        <w:p>
          <w:pPr>
            <w:pStyle w:val="10"/>
            <w:tabs>
              <w:tab w:val="right" w:leader="dot" w:pos="8306"/>
              <w:tab w:val="clear" w:pos="8296"/>
            </w:tabs>
          </w:pPr>
          <w:r>
            <w:fldChar w:fldCharType="begin"/>
          </w:r>
          <w:r>
            <w:instrText xml:space="preserve"> HYPERLINK \l _Toc19435 </w:instrText>
          </w:r>
          <w:r>
            <w:fldChar w:fldCharType="separate"/>
          </w:r>
          <w:r>
            <w:rPr>
              <w:rFonts w:hint="eastAsia" w:ascii="黑体" w:hAnsi="黑体" w:eastAsia="黑体"/>
              <w:szCs w:val="44"/>
              <w:highlight w:val="none"/>
            </w:rPr>
            <w:t>第</w:t>
          </w:r>
          <w:r>
            <w:rPr>
              <w:rFonts w:hint="eastAsia" w:ascii="黑体" w:hAnsi="黑体" w:eastAsia="黑体"/>
              <w:highlight w:val="none"/>
            </w:rPr>
            <w:t>五部分 附表</w:t>
          </w:r>
          <w:r>
            <w:tab/>
          </w:r>
          <w:r>
            <w:fldChar w:fldCharType="begin"/>
          </w:r>
          <w:r>
            <w:instrText xml:space="preserve"> PAGEREF _Toc19435 \h </w:instrText>
          </w:r>
          <w:r>
            <w:fldChar w:fldCharType="separate"/>
          </w:r>
          <w:r>
            <w:t>24</w:t>
          </w:r>
          <w:r>
            <w:fldChar w:fldCharType="end"/>
          </w:r>
          <w:r>
            <w:fldChar w:fldCharType="end"/>
          </w:r>
        </w:p>
        <w:p>
          <w:pPr>
            <w:pStyle w:val="11"/>
            <w:tabs>
              <w:tab w:val="right" w:leader="dot" w:pos="8306"/>
              <w:tab w:val="clear" w:pos="8296"/>
            </w:tabs>
          </w:pPr>
          <w:r>
            <w:fldChar w:fldCharType="begin"/>
          </w:r>
          <w:r>
            <w:instrText xml:space="preserve"> HYPERLINK \l _Toc14699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_Toc14699 \h </w:instrText>
          </w:r>
          <w:r>
            <w:fldChar w:fldCharType="separate"/>
          </w:r>
          <w:r>
            <w:t>24</w:t>
          </w:r>
          <w:r>
            <w:fldChar w:fldCharType="end"/>
          </w:r>
          <w:r>
            <w:fldChar w:fldCharType="end"/>
          </w:r>
        </w:p>
        <w:p>
          <w:pPr>
            <w:pStyle w:val="11"/>
            <w:tabs>
              <w:tab w:val="right" w:leader="dot" w:pos="8306"/>
              <w:tab w:val="clear" w:pos="8296"/>
            </w:tabs>
          </w:pPr>
          <w:r>
            <w:fldChar w:fldCharType="begin"/>
          </w:r>
          <w:r>
            <w:instrText xml:space="preserve"> HYPERLINK \l _Toc2424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_Toc2424 \h </w:instrText>
          </w:r>
          <w:r>
            <w:fldChar w:fldCharType="separate"/>
          </w:r>
          <w:r>
            <w:t>24</w:t>
          </w:r>
          <w:r>
            <w:fldChar w:fldCharType="end"/>
          </w:r>
          <w:r>
            <w:fldChar w:fldCharType="end"/>
          </w:r>
        </w:p>
        <w:p>
          <w:pPr>
            <w:pStyle w:val="11"/>
            <w:tabs>
              <w:tab w:val="right" w:leader="dot" w:pos="8306"/>
              <w:tab w:val="clear" w:pos="8296"/>
            </w:tabs>
          </w:pPr>
          <w:r>
            <w:fldChar w:fldCharType="begin"/>
          </w:r>
          <w:r>
            <w:instrText xml:space="preserve"> HYPERLINK \l _Toc16664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_Toc16664 \h </w:instrText>
          </w:r>
          <w:r>
            <w:fldChar w:fldCharType="separate"/>
          </w:r>
          <w:r>
            <w:t>24</w:t>
          </w:r>
          <w:r>
            <w:fldChar w:fldCharType="end"/>
          </w:r>
          <w:r>
            <w:fldChar w:fldCharType="end"/>
          </w:r>
        </w:p>
        <w:p>
          <w:pPr>
            <w:pStyle w:val="11"/>
            <w:tabs>
              <w:tab w:val="right" w:leader="dot" w:pos="8306"/>
              <w:tab w:val="clear" w:pos="8296"/>
            </w:tabs>
          </w:pPr>
          <w:r>
            <w:fldChar w:fldCharType="begin"/>
          </w:r>
          <w:r>
            <w:instrText xml:space="preserve"> HYPERLINK \l _Toc3730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_Toc3730 \h </w:instrText>
          </w:r>
          <w:r>
            <w:fldChar w:fldCharType="separate"/>
          </w:r>
          <w:r>
            <w:t>24</w:t>
          </w:r>
          <w:r>
            <w:fldChar w:fldCharType="end"/>
          </w:r>
          <w:r>
            <w:fldChar w:fldCharType="end"/>
          </w:r>
        </w:p>
        <w:p>
          <w:pPr>
            <w:pStyle w:val="11"/>
            <w:tabs>
              <w:tab w:val="right" w:leader="dot" w:pos="8306"/>
              <w:tab w:val="clear" w:pos="8296"/>
            </w:tabs>
          </w:pPr>
          <w:r>
            <w:fldChar w:fldCharType="begin"/>
          </w:r>
          <w:r>
            <w:instrText xml:space="preserve"> HYPERLINK \l _Toc17923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_Toc17923 \h </w:instrText>
          </w:r>
          <w:r>
            <w:fldChar w:fldCharType="separate"/>
          </w:r>
          <w:r>
            <w:t>24</w:t>
          </w:r>
          <w:r>
            <w:fldChar w:fldCharType="end"/>
          </w:r>
          <w:r>
            <w:fldChar w:fldCharType="end"/>
          </w:r>
        </w:p>
        <w:p>
          <w:pPr>
            <w:pStyle w:val="11"/>
            <w:tabs>
              <w:tab w:val="right" w:leader="dot" w:pos="8306"/>
              <w:tab w:val="clear" w:pos="8296"/>
            </w:tabs>
          </w:pPr>
          <w:r>
            <w:fldChar w:fldCharType="begin"/>
          </w:r>
          <w:r>
            <w:instrText xml:space="preserve"> HYPERLINK \l _Toc26449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_Toc26449 \h </w:instrText>
          </w:r>
          <w:r>
            <w:fldChar w:fldCharType="separate"/>
          </w:r>
          <w:r>
            <w:t>24</w:t>
          </w:r>
          <w:r>
            <w:fldChar w:fldCharType="end"/>
          </w:r>
          <w:r>
            <w:fldChar w:fldCharType="end"/>
          </w:r>
        </w:p>
        <w:p>
          <w:pPr>
            <w:pStyle w:val="11"/>
            <w:tabs>
              <w:tab w:val="right" w:leader="dot" w:pos="8306"/>
              <w:tab w:val="clear" w:pos="8296"/>
            </w:tabs>
          </w:pPr>
          <w:r>
            <w:fldChar w:fldCharType="begin"/>
          </w:r>
          <w:r>
            <w:instrText xml:space="preserve"> HYPERLINK \l _Toc26747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_Toc26747 \h </w:instrText>
          </w:r>
          <w:r>
            <w:fldChar w:fldCharType="separate"/>
          </w:r>
          <w:r>
            <w:t>24</w:t>
          </w:r>
          <w:r>
            <w:fldChar w:fldCharType="end"/>
          </w:r>
          <w:r>
            <w:fldChar w:fldCharType="end"/>
          </w:r>
        </w:p>
        <w:p>
          <w:pPr>
            <w:pStyle w:val="11"/>
            <w:tabs>
              <w:tab w:val="right" w:leader="dot" w:pos="8306"/>
              <w:tab w:val="clear" w:pos="8296"/>
            </w:tabs>
          </w:pPr>
          <w:r>
            <w:fldChar w:fldCharType="begin"/>
          </w:r>
          <w:r>
            <w:instrText xml:space="preserve"> HYPERLINK \l _Toc6858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_Toc6858 \h </w:instrText>
          </w:r>
          <w:r>
            <w:fldChar w:fldCharType="separate"/>
          </w:r>
          <w:r>
            <w:t>24</w:t>
          </w:r>
          <w:r>
            <w:fldChar w:fldCharType="end"/>
          </w:r>
          <w:r>
            <w:fldChar w:fldCharType="end"/>
          </w:r>
        </w:p>
        <w:p>
          <w:pPr>
            <w:pStyle w:val="11"/>
            <w:tabs>
              <w:tab w:val="right" w:leader="dot" w:pos="8306"/>
              <w:tab w:val="clear" w:pos="8296"/>
            </w:tabs>
          </w:pPr>
          <w:r>
            <w:fldChar w:fldCharType="begin"/>
          </w:r>
          <w:r>
            <w:instrText xml:space="preserve"> HYPERLINK \l _Toc2727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_Toc2727 \h </w:instrText>
          </w:r>
          <w:r>
            <w:fldChar w:fldCharType="separate"/>
          </w:r>
          <w:r>
            <w:t>24</w:t>
          </w:r>
          <w:r>
            <w:fldChar w:fldCharType="end"/>
          </w:r>
          <w:r>
            <w:fldChar w:fldCharType="end"/>
          </w:r>
        </w:p>
        <w:p>
          <w:pPr>
            <w:pStyle w:val="11"/>
            <w:tabs>
              <w:tab w:val="right" w:leader="dot" w:pos="8306"/>
              <w:tab w:val="clear" w:pos="8296"/>
            </w:tabs>
          </w:pPr>
          <w:r>
            <w:fldChar w:fldCharType="begin"/>
          </w:r>
          <w:r>
            <w:instrText xml:space="preserve"> HYPERLINK \l _Toc28193 </w:instrText>
          </w:r>
          <w: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_Toc28193 \h </w:instrText>
          </w:r>
          <w:r>
            <w:fldChar w:fldCharType="separate"/>
          </w:r>
          <w:r>
            <w:t>24</w:t>
          </w:r>
          <w:r>
            <w:fldChar w:fldCharType="end"/>
          </w:r>
          <w:r>
            <w:fldChar w:fldCharType="end"/>
          </w:r>
        </w:p>
        <w:p>
          <w:pPr>
            <w:pStyle w:val="11"/>
            <w:tabs>
              <w:tab w:val="right" w:leader="dot" w:pos="8306"/>
              <w:tab w:val="clear" w:pos="8296"/>
            </w:tabs>
          </w:pPr>
          <w:r>
            <w:fldChar w:fldCharType="begin"/>
          </w:r>
          <w:r>
            <w:instrText xml:space="preserve"> HYPERLINK \l _Toc5175 </w:instrText>
          </w:r>
          <w: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有资本经营预算财政拨款收入支出决算表</w:t>
          </w:r>
          <w:r>
            <w:tab/>
          </w:r>
          <w:r>
            <w:fldChar w:fldCharType="begin"/>
          </w:r>
          <w:r>
            <w:instrText xml:space="preserve"> PAGEREF _Toc5175 \h </w:instrText>
          </w:r>
          <w:r>
            <w:fldChar w:fldCharType="separate"/>
          </w:r>
          <w:r>
            <w:t>24</w:t>
          </w:r>
          <w:r>
            <w:fldChar w:fldCharType="end"/>
          </w:r>
          <w:r>
            <w:fldChar w:fldCharType="end"/>
          </w:r>
        </w:p>
        <w:p>
          <w:pPr>
            <w:pStyle w:val="11"/>
            <w:tabs>
              <w:tab w:val="right" w:leader="dot" w:pos="8306"/>
              <w:tab w:val="clear" w:pos="8296"/>
            </w:tabs>
          </w:pPr>
          <w:r>
            <w:fldChar w:fldCharType="begin"/>
          </w:r>
          <w:r>
            <w:instrText xml:space="preserve"> HYPERLINK \l _Toc13145 </w:instrText>
          </w:r>
          <w:r>
            <w:fldChar w:fldCharType="separate"/>
          </w:r>
          <w:r>
            <w:rPr>
              <w:rFonts w:hint="eastAsia" w:ascii="仿宋" w:hAnsi="仿宋" w:eastAsia="仿宋"/>
              <w:bCs w:val="0"/>
              <w:highlight w:val="none"/>
            </w:rPr>
            <w:t>十二、国有资本经营预算财政拨款支出决算表</w:t>
          </w:r>
          <w:r>
            <w:tab/>
          </w:r>
          <w:r>
            <w:fldChar w:fldCharType="begin"/>
          </w:r>
          <w:r>
            <w:instrText xml:space="preserve"> PAGEREF _Toc13145 \h </w:instrText>
          </w:r>
          <w:r>
            <w:fldChar w:fldCharType="separate"/>
          </w:r>
          <w:r>
            <w:t>24</w:t>
          </w:r>
          <w:r>
            <w:fldChar w:fldCharType="end"/>
          </w:r>
          <w:r>
            <w:fldChar w:fldCharType="end"/>
          </w:r>
        </w:p>
        <w:p>
          <w:pPr>
            <w:pStyle w:val="11"/>
            <w:tabs>
              <w:tab w:val="right" w:leader="dot" w:pos="8306"/>
              <w:tab w:val="clear" w:pos="8296"/>
            </w:tabs>
          </w:pPr>
          <w:r>
            <w:fldChar w:fldCharType="begin"/>
          </w:r>
          <w:r>
            <w:instrText xml:space="preserve"> HYPERLINK \l _Toc22775 </w:instrText>
          </w:r>
          <w:r>
            <w:fldChar w:fldCharType="separate"/>
          </w:r>
          <w:r>
            <w:rPr>
              <w:rFonts w:hint="eastAsia" w:ascii="仿宋" w:hAnsi="仿宋" w:eastAsia="仿宋"/>
              <w:bCs w:val="0"/>
              <w:highlight w:val="none"/>
            </w:rPr>
            <w:t>十三、财政拨款“三公”经费支出决算表</w:t>
          </w:r>
          <w:r>
            <w:tab/>
          </w:r>
          <w:r>
            <w:fldChar w:fldCharType="begin"/>
          </w:r>
          <w:r>
            <w:instrText xml:space="preserve"> PAGEREF _Toc22775 \h </w:instrText>
          </w:r>
          <w:r>
            <w:fldChar w:fldCharType="separate"/>
          </w:r>
          <w:r>
            <w:t>24</w:t>
          </w:r>
          <w:r>
            <w:fldChar w:fldCharType="end"/>
          </w:r>
          <w:r>
            <w:fldChar w:fldCharType="end"/>
          </w:r>
        </w:p>
        <w:p>
          <w:pPr>
            <w:pStyle w:val="2"/>
          </w:pPr>
          <w:r>
            <w:fldChar w:fldCharType="end"/>
          </w:r>
        </w:p>
      </w:sdtContent>
    </w:sdt>
    <w:p>
      <w:pPr>
        <w:pStyle w:val="3"/>
        <w:jc w:val="center"/>
        <w:rPr>
          <w:rStyle w:val="25"/>
          <w:rFonts w:ascii="黑体" w:hAnsi="黑体" w:eastAsia="黑体"/>
          <w:b/>
          <w:bCs w:val="0"/>
        </w:rPr>
      </w:pPr>
      <w:bookmarkStart w:id="22" w:name="_Toc12201"/>
      <w:bookmarkStart w:id="23" w:name="_Toc2877"/>
      <w:r>
        <w:rPr>
          <w:rFonts w:hint="eastAsia" w:ascii="黑体" w:hAnsi="黑体" w:eastAsia="黑体"/>
          <w:b w:val="0"/>
        </w:rPr>
        <w:t>第一部分 单位</w:t>
      </w:r>
      <w:r>
        <w:rPr>
          <w:rStyle w:val="25"/>
          <w:rFonts w:hint="eastAsia" w:ascii="黑体" w:hAnsi="黑体" w:eastAsia="黑体"/>
          <w:b w:val="0"/>
          <w:bCs w:val="0"/>
        </w:rPr>
        <w:t>概况</w:t>
      </w:r>
      <w:bookmarkEnd w:id="20"/>
      <w:bookmarkEnd w:id="21"/>
      <w:bookmarkEnd w:id="22"/>
      <w:bookmarkEnd w:id="23"/>
    </w:p>
    <w:p>
      <w:pPr>
        <w:widowControl/>
        <w:jc w:val="left"/>
        <w:rPr>
          <w:rFonts w:ascii="黑体" w:eastAsia="黑体"/>
          <w:sz w:val="32"/>
          <w:szCs w:val="32"/>
        </w:rPr>
      </w:pPr>
    </w:p>
    <w:p>
      <w:pPr>
        <w:pStyle w:val="4"/>
        <w:numPr>
          <w:ilvl w:val="0"/>
          <w:numId w:val="1"/>
        </w:numPr>
        <w:rPr>
          <w:rStyle w:val="26"/>
          <w:rFonts w:hint="eastAsia" w:ascii="黑体" w:hAnsi="黑体" w:eastAsia="黑体"/>
          <w:b w:val="0"/>
          <w:bCs w:val="0"/>
        </w:rPr>
      </w:pPr>
      <w:bookmarkStart w:id="24" w:name="_Toc3498"/>
      <w:bookmarkStart w:id="25" w:name="_Toc15396600"/>
      <w:bookmarkStart w:id="26" w:name="_Toc15377197"/>
      <w:r>
        <w:rPr>
          <w:rStyle w:val="26"/>
          <w:rFonts w:hint="eastAsia" w:ascii="黑体" w:hAnsi="黑体" w:eastAsia="黑体"/>
          <w:b w:val="0"/>
          <w:bCs w:val="0"/>
          <w:lang w:eastAsia="zh-CN"/>
        </w:rPr>
        <w:t>主要职责</w:t>
      </w:r>
      <w:bookmarkEnd w:id="24"/>
    </w:p>
    <w:p>
      <w:pPr>
        <w:pStyle w:val="12"/>
        <w:shd w:val="clear" w:color="auto" w:fill="FFFFFF"/>
        <w:spacing w:line="463" w:lineRule="atLeas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医院设院本部（顺城街院区）、马道院区、长安院区暨凉山州传染病医院三个院区，编制床位834张，开放床位1600余张。总占地116.13亩（院本部32.54亩、马道院区47.77亩、长安院区35.82亩），总建筑面积92700㎡，业务用房85000㎡。医院职工人数3100余人，其中，博士、硕士研究生172人，高级职称381人。</w:t>
      </w:r>
    </w:p>
    <w:p>
      <w:pPr>
        <w:pStyle w:val="12"/>
        <w:shd w:val="clear" w:color="auto" w:fill="FFFFFF"/>
        <w:spacing w:line="463" w:lineRule="atLeas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医院现有37个临床科室，34个护理单元，10个医技科室。其中，胸心血管外科、儿科、心血管内科为省级临床重点专科，儿科、肾病内科、肝胆胰胃肠外科、医学影像、护理、妇产科、肿瘤科、泌尿外科8个专业为四川省医学重点专科，拥有呼吸与危重症医学科等27个州级医学重点专科。拥有全科、内科、外科、妇产科、儿科、麻醉科、放射科、超声医学科等8个国家级住院医师规范化专业基地和1个省级护士规范化培训基地，2022年在培人数224人。医院2022年共接收来自各大医学院校各专业实习生690余人，接收全州各级医疗机构选派学员进修人员122人次。2022年医院获立国家级继教项目6项，省级继教项目41项，州级继教项目31项。</w:t>
      </w:r>
    </w:p>
    <w:p>
      <w:pPr>
        <w:pStyle w:val="12"/>
        <w:shd w:val="clear" w:color="auto" w:fill="FFFFFF"/>
        <w:spacing w:line="463" w:lineRule="atLeast"/>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全院职工秉承“全心全意为各族群众健康服务”的宗旨，坚持“仁医仁术，同心同德”的院训，不断提高团队素质、医疗服务质量和教学科研学术水平，努力构建“医疗服务放心医院，民族团结模范医院”。</w:t>
      </w:r>
    </w:p>
    <w:p>
      <w:pPr>
        <w:pStyle w:val="12"/>
        <w:shd w:val="clear" w:color="auto" w:fill="FFFFFF"/>
        <w:spacing w:line="463" w:lineRule="atLeast"/>
        <w:ind w:firstLine="640" w:firstLineChars="200"/>
        <w:jc w:val="both"/>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2022年重点工作完成情况：</w:t>
      </w:r>
    </w:p>
    <w:p>
      <w:pPr>
        <w:spacing w:line="580" w:lineRule="exact"/>
        <w:ind w:firstLine="640" w:firstLineChars="200"/>
        <w:rPr>
          <w:rFonts w:hint="eastAsia" w:ascii="仿宋" w:hAnsi="仿宋" w:eastAsia="仿宋"/>
          <w:b w:val="0"/>
          <w:bCs w:val="0"/>
          <w:sz w:val="32"/>
          <w:szCs w:val="32"/>
        </w:rPr>
      </w:pPr>
      <w:r>
        <w:rPr>
          <w:rFonts w:hint="eastAsia" w:ascii="仿宋" w:hAnsi="仿宋" w:eastAsia="仿宋"/>
          <w:b w:val="0"/>
          <w:bCs w:val="0"/>
          <w:sz w:val="32"/>
          <w:szCs w:val="32"/>
          <w:lang w:eastAsia="zh-CN"/>
        </w:rPr>
        <w:t>（一）</w:t>
      </w:r>
      <w:r>
        <w:rPr>
          <w:rFonts w:hint="eastAsia" w:ascii="仿宋" w:hAnsi="仿宋" w:eastAsia="仿宋"/>
          <w:b w:val="0"/>
          <w:bCs w:val="0"/>
          <w:sz w:val="32"/>
          <w:szCs w:val="32"/>
        </w:rPr>
        <w:t>服务中心大局，在提高服务质量上下功夫</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全年完成门诊诊疗 988802 人次、出院 55833 人次、手术及操作 56768 人次，病床使用率 81.47%，开展新技术新业务项目 57 项，开展多学科协作诊疗全院大会诊 102 次，参与州内各种大型会议大型活动医疗保障 21 次，累计参与保障天数达 174天，全国三级公立医院绩效考核成绩提升至 380 名。先后与会理市人民医院、会东县人民医院签约智慧型医联体，与会理市人民医院、会东县人民医院、冕宁县人民医院结对专科联盟 28 个，促进医疗资源合理利用，实现医联体资源互通共享。上线智慧护理大屏、康复治疗管理系统、单病种管理系统，实现门诊诊前、诊中、诊后的智慧化服务。上线使用互联网医院，实现足不出户在线复诊、在线续方、报告解读、图文咨询、电话咨询，共计为各类特殊重点人群提供在线复诊 2952 人次、接受在线咨询 9364人次、解读报告 410 份、开具在线处方 465 张。眼科光明中心在眼底疾病规范化诊疗中国行动 2022 年表彰大会中获得眼底疾病规范化诊疗优秀案例表彰，并接受健康报采访报道。信息化建设通过四川省智慧医院二星评审，国家智慧服务评级达二级、智慧管理评级达一级。</w:t>
      </w:r>
    </w:p>
    <w:p>
      <w:pPr>
        <w:pStyle w:val="2"/>
        <w:spacing w:before="93" w:line="580" w:lineRule="exact"/>
        <w:ind w:firstLine="640" w:firstLineChars="200"/>
        <w:rPr>
          <w:rFonts w:ascii="仿宋" w:hAnsi="仿宋" w:eastAsia="仿宋"/>
          <w:b w:val="0"/>
          <w:bCs w:val="0"/>
          <w:sz w:val="32"/>
          <w:szCs w:val="32"/>
        </w:rPr>
      </w:pPr>
      <w:r>
        <w:rPr>
          <w:rFonts w:hint="eastAsia" w:ascii="仿宋" w:hAnsi="仿宋" w:eastAsia="仿宋"/>
          <w:b w:val="0"/>
          <w:bCs w:val="0"/>
          <w:sz w:val="32"/>
          <w:szCs w:val="32"/>
          <w:lang w:eastAsia="zh-CN"/>
        </w:rPr>
        <w:t>（二）</w:t>
      </w:r>
      <w:r>
        <w:rPr>
          <w:rFonts w:hint="eastAsia" w:ascii="仿宋" w:hAnsi="仿宋" w:eastAsia="仿宋"/>
          <w:b w:val="0"/>
          <w:bCs w:val="0"/>
          <w:sz w:val="32"/>
          <w:szCs w:val="32"/>
        </w:rPr>
        <w:t>强化责任担当，在推进疫情防控上下功夫</w:t>
      </w:r>
    </w:p>
    <w:p>
      <w:pPr>
        <w:adjustRightInd w:val="0"/>
        <w:snapToGrid w:val="0"/>
        <w:spacing w:line="580" w:lineRule="exact"/>
        <w:ind w:firstLine="640" w:firstLineChars="200"/>
        <w:rPr>
          <w:rFonts w:hint="eastAsia" w:ascii="仿宋" w:hAnsi="仿宋" w:eastAsia="仿宋"/>
          <w:sz w:val="32"/>
          <w:szCs w:val="32"/>
        </w:rPr>
      </w:pPr>
      <w:r>
        <w:rPr>
          <w:rFonts w:hint="eastAsia" w:ascii="仿宋" w:hAnsi="仿宋" w:eastAsia="仿宋"/>
          <w:sz w:val="32"/>
          <w:szCs w:val="32"/>
        </w:rPr>
        <w:t>在疫情防控工作中，共计发布核酸检测报告 2361582 份，为疫情防控工作提供了有力的检测技术支撑。共计派出 520 余名医护人员赴南充、成都、西昌、会理、甘洛、普格开展核酸采样工作，共计派出 200 余人次专家组指导 17 县市的疫情防控工作。在当前疫情形势下，工作重心从“防”转到“治”，优化门急诊、发热门诊就医流程，加大设施改造、设备配备、物资保障投入，坚持人力资源调配一盘棋、病房床位收治一盘棋、医疗物资调度一盘棋，集全院之力全力保障患者救治工作，做到“应收尽收”“应治尽治”。</w:t>
      </w:r>
    </w:p>
    <w:p>
      <w:pPr>
        <w:spacing w:line="580" w:lineRule="exact"/>
        <w:ind w:firstLine="640" w:firstLineChars="200"/>
        <w:rPr>
          <w:rFonts w:ascii="仿宋" w:hAnsi="仿宋" w:eastAsia="仿宋"/>
          <w:b w:val="0"/>
          <w:bCs w:val="0"/>
          <w:sz w:val="32"/>
          <w:szCs w:val="32"/>
        </w:rPr>
      </w:pPr>
      <w:r>
        <w:rPr>
          <w:rFonts w:hint="eastAsia" w:ascii="仿宋" w:hAnsi="仿宋" w:eastAsia="仿宋"/>
          <w:b w:val="0"/>
          <w:bCs w:val="0"/>
          <w:sz w:val="32"/>
          <w:szCs w:val="32"/>
          <w:lang w:eastAsia="zh-CN"/>
        </w:rPr>
        <w:t>（三）</w:t>
      </w:r>
      <w:r>
        <w:rPr>
          <w:rFonts w:hint="eastAsia" w:ascii="仿宋" w:hAnsi="仿宋" w:eastAsia="仿宋"/>
          <w:b w:val="0"/>
          <w:bCs w:val="0"/>
          <w:sz w:val="32"/>
          <w:szCs w:val="32"/>
        </w:rPr>
        <w:t>凝聚发展合力，在助力乡村振兴上下功夫</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着力在完善基础设施、发展特色产业上下功夫，全面推进乡村振兴工作落地落实。向两个帮扶村群众发放价值 20.7 万余元的 3000 只阉鸡苗、400 只狮头脱温仔鹅和过渡饲料，并邀请高级兽医师讲解养殖与防病防疫的相关知识。组织开展阉鸡、狮头鹅“以购代捐”活动，共计为两个帮扶村增收 31 万余元。组织畜牧专家开展帮扶村的标准化羊圈修建选址、现有牛圈改扩建项目选址和牛羊经营养殖管理模式调研工作 4 次，下沉帮扶人员22 人次。扎实开展“干部回村绘蓝图”行动，在六一前夕为昭觉县龙沟乡中心校的孩子赠送书包 180 个，组织党员到冕宁县泸沽镇光明村开展义诊活动、到越西县南箐镇卫生院开展艾防工作督导并对卫生院发展规划提出意见建议。医院荣获 2021 年度凉山州级部门（单位）乡村振兴定点帮扶工作先进单位荣誉称号。</w:t>
      </w:r>
    </w:p>
    <w:p>
      <w:pPr>
        <w:spacing w:line="580" w:lineRule="exact"/>
        <w:ind w:firstLine="640" w:firstLineChars="200"/>
        <w:rPr>
          <w:rFonts w:ascii="仿宋" w:hAnsi="仿宋" w:eastAsia="仿宋"/>
          <w:b w:val="0"/>
          <w:bCs w:val="0"/>
          <w:sz w:val="32"/>
          <w:szCs w:val="32"/>
        </w:rPr>
      </w:pPr>
      <w:r>
        <w:rPr>
          <w:rFonts w:hint="eastAsia" w:ascii="仿宋" w:hAnsi="仿宋" w:eastAsia="仿宋"/>
          <w:b w:val="0"/>
          <w:bCs w:val="0"/>
          <w:sz w:val="32"/>
          <w:szCs w:val="32"/>
          <w:lang w:eastAsia="zh-CN"/>
        </w:rPr>
        <w:t>（四）</w:t>
      </w:r>
      <w:r>
        <w:rPr>
          <w:rFonts w:hint="eastAsia" w:ascii="仿宋" w:hAnsi="仿宋" w:eastAsia="仿宋"/>
          <w:b w:val="0"/>
          <w:bCs w:val="0"/>
          <w:sz w:val="32"/>
          <w:szCs w:val="32"/>
        </w:rPr>
        <w:t>加强人才建设，在增强发展动力上下功夫</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认真落实党管人才的要求，始终将“求才、用才、育才、留才”摆在重要的战略地位，切实做到更好地吸纳人才、用好人才、留住人才。全年，通过“千名英才·智汇凉山”菁英计划、双选会等方式引进硕士研究生 22 人、本科学历人才 43 人，人才引进工作取得较好成绩。积极申报第十四批四川省学术和技术带头人后备人选 2 名、凉山州第十一批学术和技术带头人 11 名、凉山州第十一批学术和技术带头人后备人选 27 名、“凉山名医”2名、“凉山杰出科技工作者”1 名。接收来自西南医科大学等多所院校各专业实习生 670 余人，外派进修人员 90 人次，接收下级医院选派到我院各类进修人员 122 人次，承担规培教学工作在院学生 228 人。</w:t>
      </w:r>
    </w:p>
    <w:p>
      <w:pPr>
        <w:spacing w:line="580" w:lineRule="exact"/>
        <w:ind w:firstLine="640" w:firstLineChars="200"/>
        <w:rPr>
          <w:rFonts w:ascii="仿宋" w:hAnsi="仿宋" w:eastAsia="仿宋"/>
          <w:b w:val="0"/>
          <w:bCs w:val="0"/>
          <w:sz w:val="32"/>
          <w:szCs w:val="32"/>
        </w:rPr>
      </w:pPr>
      <w:r>
        <w:rPr>
          <w:rFonts w:hint="eastAsia" w:ascii="仿宋" w:hAnsi="仿宋" w:eastAsia="仿宋"/>
          <w:b w:val="0"/>
          <w:bCs w:val="0"/>
          <w:sz w:val="32"/>
          <w:szCs w:val="32"/>
          <w:lang w:eastAsia="zh-CN"/>
        </w:rPr>
        <w:t>（五）</w:t>
      </w:r>
      <w:r>
        <w:rPr>
          <w:rFonts w:hint="eastAsia" w:ascii="仿宋" w:hAnsi="仿宋" w:eastAsia="仿宋"/>
          <w:b w:val="0"/>
          <w:bCs w:val="0"/>
          <w:sz w:val="32"/>
          <w:szCs w:val="32"/>
        </w:rPr>
        <w:t>强化科研意识，在提高核心竞争力上下功夫</w:t>
      </w:r>
    </w:p>
    <w:p>
      <w:pPr>
        <w:spacing w:line="580" w:lineRule="exact"/>
        <w:ind w:firstLine="640" w:firstLineChars="200"/>
        <w:rPr>
          <w:rFonts w:ascii="仿宋" w:hAnsi="仿宋" w:eastAsia="仿宋" w:cs="仿宋"/>
          <w:sz w:val="32"/>
          <w:szCs w:val="32"/>
        </w:rPr>
      </w:pPr>
      <w:r>
        <w:rPr>
          <w:rFonts w:hint="eastAsia" w:ascii="仿宋" w:hAnsi="仿宋" w:eastAsia="仿宋"/>
          <w:sz w:val="32"/>
          <w:szCs w:val="32"/>
          <w:lang w:eastAsia="zh-CN"/>
        </w:rPr>
        <w:t>进一步加强医务人员科研意识，指导和鼓励各科室开展科研选题和立项，科研课题逐年递增，科研能力迅速提升。全年，获四川省医学会科研课题立项 4 项、四川省护理学会科研课题立项1 项、州级科研课题立项 29 项，首次设立院级科研课题并立项14 项，获四川省医学科技奖 2 项、四川省医学青年科技奖 1 项。申报州级重点专科建设项目 3 个，儿科、胸心血管外科成功立项四川省临床重点专科。医院被确立为四川省首批临床研究伦理备案系统试点单位，荣获凉山州科技创新工作先进单位荣誉称号。</w:t>
      </w:r>
    </w:p>
    <w:p>
      <w:pPr>
        <w:pStyle w:val="4"/>
        <w:keepNext w:val="0"/>
        <w:keepLines w:val="0"/>
        <w:pageBreakBefore w:val="0"/>
        <w:widowControl w:val="0"/>
        <w:kinsoku/>
        <w:wordWrap/>
        <w:overflowPunct/>
        <w:topLinePunct w:val="0"/>
        <w:autoSpaceDE/>
        <w:autoSpaceDN/>
        <w:bidi w:val="0"/>
        <w:adjustRightInd w:val="0"/>
        <w:snapToGrid w:val="0"/>
        <w:spacing w:before="0" w:after="0" w:line="360" w:lineRule="auto"/>
        <w:ind w:firstLine="640" w:firstLineChars="200"/>
        <w:textAlignment w:val="auto"/>
        <w:rPr>
          <w:rFonts w:hint="eastAsia" w:ascii="仿宋" w:hAnsi="仿宋" w:eastAsia="仿宋" w:cs="Times New Roman"/>
          <w:b w:val="0"/>
          <w:bCs w:val="0"/>
          <w:kern w:val="2"/>
          <w:sz w:val="32"/>
          <w:szCs w:val="32"/>
          <w:lang w:val="en-US" w:eastAsia="zh-CN" w:bidi="ar-SA"/>
        </w:rPr>
      </w:pPr>
      <w:bookmarkStart w:id="27" w:name="_Toc27863"/>
      <w:bookmarkStart w:id="28" w:name="_Toc22292"/>
      <w:bookmarkStart w:id="29" w:name="_Toc18290"/>
      <w:bookmarkStart w:id="30" w:name="_Toc30297"/>
      <w:r>
        <w:rPr>
          <w:rFonts w:hint="eastAsia" w:ascii="仿宋" w:hAnsi="仿宋" w:eastAsia="仿宋"/>
          <w:b w:val="0"/>
          <w:bCs w:val="0"/>
          <w:sz w:val="32"/>
          <w:szCs w:val="32"/>
          <w:lang w:eastAsia="zh-CN"/>
        </w:rPr>
        <w:t>（六）</w:t>
      </w:r>
      <w:bookmarkEnd w:id="27"/>
      <w:bookmarkEnd w:id="28"/>
      <w:r>
        <w:rPr>
          <w:rFonts w:hint="eastAsia" w:ascii="仿宋" w:hAnsi="仿宋" w:eastAsia="仿宋"/>
          <w:b w:val="0"/>
          <w:bCs w:val="0"/>
          <w:sz w:val="32"/>
          <w:szCs w:val="32"/>
          <w:lang w:val="en-US" w:eastAsia="zh-CN"/>
        </w:rPr>
        <w:t>加强文化建设，在激发组织活力上下功夫</w:t>
      </w:r>
      <w:bookmarkEnd w:id="29"/>
      <w:bookmarkEnd w:id="30"/>
    </w:p>
    <w:p>
      <w:pPr>
        <w:pStyle w:val="4"/>
        <w:keepNext w:val="0"/>
        <w:keepLines w:val="0"/>
        <w:pageBreakBefore w:val="0"/>
        <w:widowControl w:val="0"/>
        <w:kinsoku/>
        <w:wordWrap/>
        <w:overflowPunct/>
        <w:topLinePunct w:val="0"/>
        <w:autoSpaceDE/>
        <w:autoSpaceDN/>
        <w:bidi w:val="0"/>
        <w:adjustRightInd w:val="0"/>
        <w:snapToGrid w:val="0"/>
        <w:spacing w:before="0" w:after="0" w:line="360" w:lineRule="auto"/>
        <w:ind w:firstLine="640" w:firstLineChars="200"/>
        <w:textAlignment w:val="auto"/>
        <w:rPr>
          <w:rFonts w:hint="eastAsia" w:ascii="仿宋" w:hAnsi="仿宋" w:eastAsia="仿宋" w:cs="Times New Roman"/>
          <w:b w:val="0"/>
          <w:bCs w:val="0"/>
          <w:kern w:val="2"/>
          <w:sz w:val="32"/>
          <w:szCs w:val="32"/>
          <w:lang w:val="en-US" w:eastAsia="zh-CN" w:bidi="ar-SA"/>
        </w:rPr>
      </w:pPr>
      <w:bookmarkStart w:id="31" w:name="_Toc21302"/>
      <w:bookmarkStart w:id="32" w:name="_Toc17764"/>
      <w:r>
        <w:rPr>
          <w:rFonts w:hint="eastAsia" w:ascii="仿宋" w:hAnsi="仿宋" w:eastAsia="仿宋" w:cs="Times New Roman"/>
          <w:b w:val="0"/>
          <w:bCs w:val="0"/>
          <w:kern w:val="2"/>
          <w:sz w:val="32"/>
          <w:szCs w:val="32"/>
          <w:lang w:val="en-US" w:eastAsia="zh-CN" w:bidi="ar-SA"/>
        </w:rPr>
        <w:t>1.打造文化阵地。建立职工之家、职工书屋等文化阵地，建设咖啡屋、健身房等休闲场地，让干部职工在工作之余能有舒缓身心的地方。</w:t>
      </w:r>
      <w:bookmarkEnd w:id="31"/>
      <w:bookmarkEnd w:id="32"/>
    </w:p>
    <w:p>
      <w:pPr>
        <w:pStyle w:val="4"/>
        <w:keepNext w:val="0"/>
        <w:keepLines w:val="0"/>
        <w:pageBreakBefore w:val="0"/>
        <w:widowControl w:val="0"/>
        <w:kinsoku/>
        <w:wordWrap/>
        <w:overflowPunct/>
        <w:topLinePunct w:val="0"/>
        <w:autoSpaceDE/>
        <w:autoSpaceDN/>
        <w:bidi w:val="0"/>
        <w:adjustRightInd w:val="0"/>
        <w:snapToGrid w:val="0"/>
        <w:spacing w:before="0" w:after="0" w:line="360" w:lineRule="auto"/>
        <w:ind w:firstLine="640" w:firstLineChars="200"/>
        <w:textAlignment w:val="auto"/>
        <w:rPr>
          <w:rFonts w:hint="eastAsia" w:ascii="仿宋" w:hAnsi="仿宋" w:eastAsia="仿宋" w:cs="Times New Roman"/>
          <w:b w:val="0"/>
          <w:bCs w:val="0"/>
          <w:kern w:val="2"/>
          <w:sz w:val="32"/>
          <w:szCs w:val="32"/>
          <w:lang w:val="en-US" w:eastAsia="zh-CN" w:bidi="ar-SA"/>
        </w:rPr>
      </w:pPr>
      <w:bookmarkStart w:id="33" w:name="_Toc18796"/>
      <w:bookmarkStart w:id="34" w:name="_Toc7236"/>
      <w:r>
        <w:rPr>
          <w:rFonts w:hint="eastAsia" w:ascii="仿宋" w:hAnsi="仿宋" w:eastAsia="仿宋" w:cs="Times New Roman"/>
          <w:b w:val="0"/>
          <w:bCs w:val="0"/>
          <w:kern w:val="2"/>
          <w:sz w:val="32"/>
          <w:szCs w:val="32"/>
          <w:lang w:val="en-US" w:eastAsia="zh-CN" w:bidi="ar-SA"/>
        </w:rPr>
        <w:t>2.深化文化内涵。以党的二十大、建州 70 周年、文明城市创建、清廉医院建设等重大活动为契机，及时更新宣传展板、电子显示屏等宣传阵地，形成独具特色的医院文化。在医师节、护士节、妇女节、春节等重要时间节点，拍摄抖音专刊，并通过微信公众号致以节日慰问和祝福，塑造医院自身形象、加强医院文化建设。反映儿科工作的微电影《天台的光亮》，参加四川省卫健委第七届微电影大赛。长安分院荣获 2022 年四川省工人先锋号荣誉称号，新冠定点治疗长安病区正在创建全国五一标兵巾帼岗。</w:t>
      </w:r>
      <w:bookmarkEnd w:id="33"/>
      <w:bookmarkEnd w:id="34"/>
    </w:p>
    <w:p>
      <w:pPr>
        <w:pStyle w:val="4"/>
        <w:keepNext w:val="0"/>
        <w:keepLines w:val="0"/>
        <w:pageBreakBefore w:val="0"/>
        <w:widowControl w:val="0"/>
        <w:kinsoku/>
        <w:wordWrap/>
        <w:overflowPunct/>
        <w:topLinePunct w:val="0"/>
        <w:autoSpaceDE/>
        <w:autoSpaceDN/>
        <w:bidi w:val="0"/>
        <w:adjustRightInd w:val="0"/>
        <w:snapToGrid w:val="0"/>
        <w:spacing w:before="0" w:after="0" w:line="360" w:lineRule="auto"/>
        <w:ind w:firstLine="640" w:firstLineChars="200"/>
        <w:textAlignment w:val="auto"/>
        <w:rPr>
          <w:rFonts w:hint="eastAsia" w:ascii="仿宋" w:hAnsi="仿宋" w:eastAsia="仿宋" w:cs="Times New Roman"/>
          <w:b w:val="0"/>
          <w:bCs w:val="0"/>
          <w:kern w:val="2"/>
          <w:sz w:val="32"/>
          <w:szCs w:val="32"/>
          <w:lang w:val="en-US" w:eastAsia="zh-CN" w:bidi="ar-SA"/>
        </w:rPr>
      </w:pPr>
      <w:bookmarkStart w:id="35" w:name="_Toc1168"/>
      <w:bookmarkStart w:id="36" w:name="_Toc6206"/>
      <w:r>
        <w:rPr>
          <w:rFonts w:hint="eastAsia" w:ascii="仿宋" w:hAnsi="仿宋" w:eastAsia="仿宋" w:cs="Times New Roman"/>
          <w:b w:val="0"/>
          <w:bCs w:val="0"/>
          <w:kern w:val="2"/>
          <w:sz w:val="32"/>
          <w:szCs w:val="32"/>
          <w:lang w:val="en-US" w:eastAsia="zh-CN" w:bidi="ar-SA"/>
        </w:rPr>
        <w:t>3.丰富文化活动。以医师节、护士节、妇女节为契机，开展“医师手记”征文比赛、“手术小能手”外科青年医师技能比赛、“教学小能手”儿科小讲课比赛、首届护理创新大赛、“玫瑰书香”朗读比赛，进一步丰富医院文化活动。</w:t>
      </w:r>
      <w:bookmarkEnd w:id="35"/>
      <w:bookmarkEnd w:id="36"/>
    </w:p>
    <w:p>
      <w:pPr>
        <w:pStyle w:val="4"/>
        <w:keepNext w:val="0"/>
        <w:keepLines w:val="0"/>
        <w:pageBreakBefore w:val="0"/>
        <w:widowControl w:val="0"/>
        <w:kinsoku/>
        <w:wordWrap/>
        <w:overflowPunct/>
        <w:topLinePunct w:val="0"/>
        <w:autoSpaceDE/>
        <w:autoSpaceDN/>
        <w:bidi w:val="0"/>
        <w:adjustRightInd w:val="0"/>
        <w:snapToGrid w:val="0"/>
        <w:spacing w:before="0" w:after="0" w:line="360" w:lineRule="auto"/>
        <w:ind w:firstLine="640" w:firstLineChars="200"/>
        <w:textAlignment w:val="auto"/>
        <w:rPr>
          <w:rFonts w:hint="eastAsia" w:ascii="仿宋" w:hAnsi="仿宋" w:eastAsia="仿宋" w:cs="Times New Roman"/>
          <w:b w:val="0"/>
          <w:bCs w:val="0"/>
          <w:kern w:val="2"/>
          <w:sz w:val="32"/>
          <w:szCs w:val="32"/>
          <w:lang w:val="en-US" w:eastAsia="zh-CN" w:bidi="ar-SA"/>
        </w:rPr>
      </w:pPr>
      <w:bookmarkStart w:id="37" w:name="_Toc5526"/>
      <w:bookmarkStart w:id="38" w:name="_Toc50"/>
      <w:bookmarkStart w:id="39" w:name="_Toc2642"/>
      <w:bookmarkStart w:id="40" w:name="_Toc28002"/>
      <w:r>
        <w:rPr>
          <w:rFonts w:hint="eastAsia" w:ascii="仿宋" w:hAnsi="仿宋" w:eastAsia="仿宋" w:cs="Times New Roman"/>
          <w:b w:val="0"/>
          <w:bCs w:val="0"/>
          <w:kern w:val="2"/>
          <w:sz w:val="32"/>
          <w:szCs w:val="32"/>
          <w:lang w:val="en-US" w:eastAsia="zh-CN" w:bidi="ar-SA"/>
        </w:rPr>
        <w:t>（七）</w:t>
      </w:r>
      <w:bookmarkEnd w:id="37"/>
      <w:bookmarkEnd w:id="38"/>
      <w:r>
        <w:rPr>
          <w:rFonts w:hint="eastAsia" w:ascii="仿宋" w:hAnsi="仿宋" w:eastAsia="仿宋" w:cs="Times New Roman"/>
          <w:b w:val="0"/>
          <w:bCs w:val="0"/>
          <w:kern w:val="2"/>
          <w:sz w:val="32"/>
          <w:szCs w:val="32"/>
          <w:lang w:val="en-US" w:eastAsia="zh-CN" w:bidi="ar-SA"/>
        </w:rPr>
        <w:t>加强基础建设，在提升服务能力上下功夫</w:t>
      </w:r>
      <w:bookmarkEnd w:id="39"/>
      <w:bookmarkEnd w:id="40"/>
    </w:p>
    <w:p>
      <w:pPr>
        <w:pStyle w:val="4"/>
        <w:keepNext w:val="0"/>
        <w:keepLines w:val="0"/>
        <w:pageBreakBefore w:val="0"/>
        <w:widowControl w:val="0"/>
        <w:kinsoku/>
        <w:wordWrap/>
        <w:overflowPunct/>
        <w:topLinePunct w:val="0"/>
        <w:autoSpaceDE/>
        <w:autoSpaceDN/>
        <w:bidi w:val="0"/>
        <w:adjustRightInd w:val="0"/>
        <w:snapToGrid w:val="0"/>
        <w:spacing w:before="0" w:after="0" w:line="360" w:lineRule="auto"/>
        <w:ind w:firstLine="640" w:firstLineChars="200"/>
        <w:textAlignment w:val="auto"/>
        <w:rPr>
          <w:rFonts w:hint="eastAsia" w:ascii="仿宋" w:hAnsi="仿宋" w:eastAsia="仿宋" w:cs="Times New Roman"/>
          <w:b w:val="0"/>
          <w:bCs w:val="0"/>
          <w:kern w:val="2"/>
          <w:sz w:val="32"/>
          <w:szCs w:val="32"/>
          <w:lang w:val="en-US" w:eastAsia="zh-CN" w:bidi="ar-SA"/>
        </w:rPr>
      </w:pPr>
      <w:bookmarkStart w:id="41" w:name="_Toc32698"/>
      <w:bookmarkStart w:id="42" w:name="_Toc21600"/>
      <w:bookmarkStart w:id="43" w:name="_Toc11956"/>
      <w:bookmarkStart w:id="44" w:name="_Toc2697"/>
      <w:r>
        <w:rPr>
          <w:rFonts w:hint="eastAsia" w:ascii="仿宋" w:hAnsi="仿宋" w:eastAsia="仿宋" w:cs="Times New Roman"/>
          <w:b w:val="0"/>
          <w:bCs w:val="0"/>
          <w:kern w:val="2"/>
          <w:sz w:val="32"/>
          <w:szCs w:val="32"/>
          <w:lang w:val="en-US" w:eastAsia="zh-CN" w:bidi="ar-SA"/>
        </w:rPr>
        <w:t>1.加快推进新院区项目建设。新院区项目一期于 2022年 6 月获得州发改委正式立项批复，已完成勘察、设计招标，获得项目用地不动产权证及用地规划许可证。</w:t>
      </w:r>
      <w:bookmarkEnd w:id="41"/>
      <w:bookmarkEnd w:id="42"/>
    </w:p>
    <w:p>
      <w:pPr>
        <w:pStyle w:val="12"/>
        <w:shd w:val="clear" w:color="auto" w:fill="FFFFFF"/>
        <w:spacing w:line="463" w:lineRule="atLeast"/>
        <w:ind w:firstLine="640" w:firstLineChars="200"/>
        <w:jc w:val="both"/>
        <w:rPr>
          <w:rFonts w:hint="eastAsia" w:ascii="仿宋" w:hAnsi="仿宋" w:eastAsia="仿宋"/>
          <w:color w:val="000000"/>
          <w:sz w:val="32"/>
          <w:szCs w:val="32"/>
        </w:rPr>
      </w:pPr>
      <w:r>
        <w:rPr>
          <w:rFonts w:hint="eastAsia" w:ascii="仿宋" w:hAnsi="仿宋" w:eastAsia="仿宋" w:cs="Times New Roman"/>
          <w:b w:val="0"/>
          <w:bCs w:val="0"/>
          <w:kern w:val="2"/>
          <w:sz w:val="32"/>
          <w:szCs w:val="32"/>
          <w:lang w:val="en-US" w:eastAsia="zh-CN" w:bidi="ar-SA"/>
        </w:rPr>
        <w:t>2.加快推进危急重症综合救治中心（省级区域医疗中心）项目建设。危急重症综合救治中心（省级区域医疗中心）项目于2022 年 5 月获得立项批复，已通过方案设计联审报批、初步设计审查及施工图审查，并获得工程规划许可证。项目现场已完成打围、场平、临时用水、用电、营地建设、钢筋棚垫层浇筑、打</w:t>
      </w:r>
      <w:bookmarkEnd w:id="43"/>
      <w:bookmarkEnd w:id="44"/>
      <w:r>
        <w:rPr>
          <w:rFonts w:hint="eastAsia" w:ascii="仿宋" w:hAnsi="仿宋" w:eastAsia="仿宋" w:cs="Times New Roman"/>
          <w:b w:val="0"/>
          <w:bCs w:val="0"/>
          <w:kern w:val="2"/>
          <w:sz w:val="32"/>
          <w:szCs w:val="32"/>
          <w:lang w:val="en-US" w:eastAsia="zh-CN" w:bidi="ar-SA"/>
        </w:rPr>
        <w:t>降水井等工作。新的一年，院党委将坚持和加强党对公立医院的全面领导，全面落实新时代党的建设总要求和新时代党的组织路线，认真贯彻落实党的二十大精神、四川省委十二届二次全会精神和州委九届六次全会精神，把党建工作做到群众关心的热点上、体现到业务工作的落实上、放到作风建设的改进上，结合医院重点工作开展“党建+”等形式多样、特色鲜明的党建活动，以高质量党建推动公立医院高质量发展。</w:t>
      </w:r>
    </w:p>
    <w:p>
      <w:pPr>
        <w:pStyle w:val="4"/>
        <w:ind w:firstLine="320" w:firstLineChars="100"/>
        <w:rPr>
          <w:rFonts w:hint="eastAsia" w:ascii="黑体" w:hAnsi="黑体" w:eastAsia="黑体"/>
          <w:b w:val="0"/>
          <w:lang w:eastAsia="zh-CN"/>
        </w:rPr>
      </w:pPr>
      <w:bookmarkStart w:id="45" w:name="_Toc24053"/>
      <w:bookmarkStart w:id="46" w:name="_Toc10870"/>
      <w:r>
        <w:rPr>
          <w:rFonts w:hint="eastAsia" w:ascii="黑体" w:hAnsi="黑体" w:eastAsia="黑体"/>
          <w:b w:val="0"/>
        </w:rPr>
        <w:t>二、</w:t>
      </w:r>
      <w:bookmarkEnd w:id="25"/>
      <w:bookmarkEnd w:id="26"/>
      <w:bookmarkEnd w:id="45"/>
      <w:r>
        <w:rPr>
          <w:rFonts w:hint="eastAsia" w:ascii="黑体" w:hAnsi="黑体" w:eastAsia="黑体"/>
          <w:b w:val="0"/>
          <w:lang w:eastAsia="zh-CN"/>
        </w:rPr>
        <w:t>机构设置</w:t>
      </w:r>
      <w:bookmarkEnd w:id="46"/>
    </w:p>
    <w:p>
      <w:pPr>
        <w:pStyle w:val="2"/>
        <w:adjustRightInd w:val="0"/>
        <w:snapToGrid w:val="0"/>
        <w:spacing w:before="93" w:line="600" w:lineRule="exact"/>
        <w:ind w:firstLine="672" w:firstLineChars="210"/>
        <w:rPr>
          <w:rFonts w:hint="eastAsia" w:ascii="仿宋" w:hAnsi="仿宋" w:eastAsia="仿宋" w:cs="Times New Roman"/>
          <w:sz w:val="32"/>
          <w:szCs w:val="32"/>
        </w:rPr>
      </w:pPr>
      <w:r>
        <w:rPr>
          <w:rFonts w:hint="eastAsia" w:ascii="仿宋" w:hAnsi="仿宋" w:eastAsia="仿宋" w:cs="Times New Roman"/>
          <w:sz w:val="32"/>
          <w:szCs w:val="32"/>
          <w:lang w:eastAsia="zh-CN"/>
        </w:rPr>
        <w:t>凉山州第一人民医院</w:t>
      </w:r>
      <w:r>
        <w:rPr>
          <w:rFonts w:hint="eastAsia" w:ascii="仿宋" w:hAnsi="仿宋" w:eastAsia="仿宋" w:cs="Times New Roman"/>
          <w:sz w:val="32"/>
          <w:szCs w:val="32"/>
        </w:rPr>
        <w:t>下属单位</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个，其中行政单位</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个，参照公务员法管理的事业单位</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个，其他事业单位</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个。</w:t>
      </w:r>
    </w:p>
    <w:p>
      <w:pPr>
        <w:pStyle w:val="4"/>
        <w:keepNext w:val="0"/>
        <w:keepLines w:val="0"/>
        <w:pageBreakBefore w:val="0"/>
        <w:widowControl w:val="0"/>
        <w:kinsoku/>
        <w:wordWrap/>
        <w:overflowPunct/>
        <w:topLinePunct w:val="0"/>
        <w:autoSpaceDE/>
        <w:autoSpaceDN/>
        <w:bidi w:val="0"/>
        <w:adjustRightInd w:val="0"/>
        <w:snapToGrid w:val="0"/>
        <w:spacing w:before="0" w:after="0" w:line="360" w:lineRule="auto"/>
        <w:ind w:firstLine="643" w:firstLineChars="200"/>
        <w:textAlignment w:val="auto"/>
        <w:rPr>
          <w:rFonts w:ascii="仿宋" w:hAnsi="仿宋" w:eastAsia="仿宋"/>
          <w:kern w:val="0"/>
          <w:sz w:val="32"/>
          <w:szCs w:val="32"/>
        </w:rPr>
      </w:pPr>
      <w:bookmarkStart w:id="47" w:name="_Toc899"/>
      <w:r>
        <w:rPr>
          <w:rFonts w:ascii="仿宋" w:hAnsi="仿宋" w:eastAsia="仿宋"/>
          <w:sz w:val="32"/>
          <w:szCs w:val="32"/>
        </w:rPr>
        <w:br w:type="page"/>
      </w:r>
      <w:bookmarkEnd w:id="47"/>
    </w:p>
    <w:p>
      <w:pPr>
        <w:pStyle w:val="3"/>
        <w:ind w:right="440"/>
        <w:jc w:val="center"/>
        <w:rPr>
          <w:rStyle w:val="25"/>
          <w:rFonts w:ascii="黑体" w:hAnsi="黑体" w:eastAsia="黑体"/>
          <w:b w:val="0"/>
          <w:bCs/>
        </w:rPr>
      </w:pPr>
      <w:bookmarkStart w:id="48" w:name="_Toc15377204"/>
      <w:bookmarkStart w:id="49" w:name="_Toc15396602"/>
      <w:bookmarkStart w:id="50" w:name="_Toc5705"/>
      <w:bookmarkStart w:id="51" w:name="_Toc30899"/>
      <w:r>
        <w:rPr>
          <w:rFonts w:hint="eastAsia" w:ascii="黑体" w:hAnsi="黑体" w:eastAsia="黑体"/>
          <w:b w:val="0"/>
        </w:rPr>
        <w:t>第二部分 202</w:t>
      </w:r>
      <w:r>
        <w:rPr>
          <w:rFonts w:hint="eastAsia" w:ascii="黑体" w:hAnsi="黑体" w:eastAsia="黑体"/>
          <w:b w:val="0"/>
          <w:lang w:val="en-US" w:eastAsia="zh-CN"/>
        </w:rPr>
        <w:t>2</w:t>
      </w:r>
      <w:r>
        <w:rPr>
          <w:rFonts w:hint="eastAsia" w:ascii="黑体" w:hAnsi="黑体" w:eastAsia="黑体"/>
          <w:b w:val="0"/>
        </w:rPr>
        <w:t>年度</w:t>
      </w:r>
      <w:r>
        <w:rPr>
          <w:rStyle w:val="25"/>
          <w:rFonts w:hint="eastAsia" w:ascii="黑体" w:hAnsi="黑体" w:eastAsia="黑体"/>
          <w:b w:val="0"/>
          <w:bCs/>
        </w:rPr>
        <w:t>单位决算情况说明</w:t>
      </w:r>
      <w:bookmarkEnd w:id="48"/>
      <w:bookmarkEnd w:id="49"/>
      <w:bookmarkEnd w:id="50"/>
      <w:bookmarkEnd w:id="51"/>
    </w:p>
    <w:p/>
    <w:p>
      <w:pPr>
        <w:pStyle w:val="24"/>
        <w:numPr>
          <w:ilvl w:val="0"/>
          <w:numId w:val="2"/>
        </w:numPr>
        <w:spacing w:line="600" w:lineRule="exact"/>
        <w:ind w:firstLineChars="0"/>
        <w:outlineLvl w:val="1"/>
        <w:rPr>
          <w:rStyle w:val="26"/>
          <w:rFonts w:ascii="黑体" w:hAnsi="黑体" w:eastAsia="黑体"/>
          <w:b w:val="0"/>
        </w:rPr>
      </w:pPr>
      <w:bookmarkStart w:id="52" w:name="_Toc14962"/>
      <w:bookmarkStart w:id="53" w:name="_Toc15377205"/>
      <w:bookmarkStart w:id="54" w:name="_Toc15396603"/>
      <w:bookmarkStart w:id="55" w:name="_Toc1906"/>
      <w:r>
        <w:rPr>
          <w:rFonts w:hint="eastAsia" w:ascii="黑体" w:hAnsi="黑体" w:eastAsia="黑体"/>
          <w:sz w:val="32"/>
          <w:szCs w:val="32"/>
        </w:rPr>
        <w:t>收</w:t>
      </w:r>
      <w:r>
        <w:rPr>
          <w:rStyle w:val="26"/>
          <w:rFonts w:hint="eastAsia" w:ascii="黑体" w:hAnsi="黑体" w:eastAsia="黑体"/>
          <w:b w:val="0"/>
        </w:rPr>
        <w:t>入支出决算总体情况说明</w:t>
      </w:r>
      <w:bookmarkEnd w:id="52"/>
      <w:bookmarkEnd w:id="53"/>
      <w:bookmarkEnd w:id="54"/>
      <w:bookmarkEnd w:id="55"/>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年度收、支总计120247.22万元。与20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7008.13</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5.51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2022年因疫情影响，收入减少，支出增多，无结余分配</w:t>
      </w:r>
      <w:r>
        <w:rPr>
          <w:rFonts w:hint="eastAsia" w:ascii="仿宋" w:hAnsi="仿宋" w:eastAsia="仿宋"/>
          <w:color w:val="auto"/>
          <w:sz w:val="32"/>
          <w:szCs w:val="32"/>
          <w:highlight w:val="none"/>
          <w:lang w:eastAsia="zh-CN"/>
        </w:rPr>
        <w:t>。</w:t>
      </w:r>
    </w:p>
    <w:p>
      <w:pPr>
        <w:pStyle w:val="2"/>
        <w:rPr>
          <w:rFonts w:hint="eastAsia"/>
          <w:lang w:eastAsia="zh-CN"/>
        </w:rPr>
      </w:pPr>
    </w:p>
    <w:p>
      <w:pPr>
        <w:spacing w:line="240" w:lineRule="auto"/>
        <w:ind w:firstLine="420" w:firstLineChars="200"/>
        <w:jc w:val="center"/>
        <w:rPr>
          <w:rFonts w:hint="eastAsia"/>
          <w:lang w:eastAsia="zh-CN"/>
        </w:rPr>
      </w:pPr>
      <w:r>
        <w:drawing>
          <wp:inline distT="0" distB="0" distL="114300" distR="114300">
            <wp:extent cx="4572000" cy="2743200"/>
            <wp:effectExtent l="4445" t="4445" r="14605" b="1460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spacing w:line="600" w:lineRule="exact"/>
        <w:ind w:firstLine="640" w:firstLineChars="200"/>
        <w:jc w:val="left"/>
        <w:rPr>
          <w:rFonts w:ascii="仿宋_GB2312" w:eastAsia="仿宋_GB2312"/>
          <w:sz w:val="32"/>
          <w:szCs w:val="32"/>
        </w:rPr>
      </w:pPr>
    </w:p>
    <w:p>
      <w:pPr>
        <w:pStyle w:val="24"/>
        <w:numPr>
          <w:ilvl w:val="0"/>
          <w:numId w:val="2"/>
        </w:numPr>
        <w:spacing w:line="600" w:lineRule="exact"/>
        <w:ind w:firstLineChars="0"/>
        <w:outlineLvl w:val="1"/>
        <w:rPr>
          <w:rStyle w:val="26"/>
          <w:rFonts w:ascii="黑体" w:hAnsi="黑体" w:eastAsia="黑体"/>
          <w:b w:val="0"/>
        </w:rPr>
      </w:pPr>
      <w:bookmarkStart w:id="56" w:name="_Toc28162"/>
      <w:bookmarkStart w:id="57" w:name="_Toc8751"/>
      <w:bookmarkStart w:id="58" w:name="_Toc15377206"/>
      <w:bookmarkStart w:id="59" w:name="_Toc15396604"/>
      <w:r>
        <w:rPr>
          <w:rFonts w:hint="eastAsia" w:ascii="黑体" w:hAnsi="黑体" w:eastAsia="黑体"/>
          <w:sz w:val="32"/>
          <w:szCs w:val="32"/>
        </w:rPr>
        <w:t>收</w:t>
      </w:r>
      <w:r>
        <w:rPr>
          <w:rStyle w:val="26"/>
          <w:rFonts w:hint="eastAsia" w:ascii="黑体" w:hAnsi="黑体" w:eastAsia="黑体"/>
          <w:b w:val="0"/>
        </w:rPr>
        <w:t>入决算情况说明</w:t>
      </w:r>
      <w:bookmarkEnd w:id="56"/>
      <w:bookmarkEnd w:id="57"/>
      <w:bookmarkEnd w:id="58"/>
      <w:bookmarkEnd w:id="59"/>
    </w:p>
    <w:p>
      <w:pPr>
        <w:spacing w:line="600" w:lineRule="exact"/>
        <w:ind w:firstLine="640" w:firstLineChars="200"/>
        <w:outlineLvl w:val="1"/>
        <w:rPr>
          <w:rFonts w:ascii="仿宋" w:hAnsi="仿宋" w:eastAsia="仿宋"/>
          <w:sz w:val="32"/>
          <w:szCs w:val="32"/>
        </w:rPr>
      </w:pPr>
      <w:bookmarkStart w:id="60" w:name="_Toc12029"/>
      <w:bookmarkStart w:id="61" w:name="_Toc17496"/>
      <w:bookmarkStart w:id="62" w:name="_Toc9634"/>
      <w:bookmarkStart w:id="63" w:name="_Toc14745"/>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113667.71</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9725.52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8.56</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97215.98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85.53</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6726.21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5.91</w:t>
      </w:r>
      <w:r>
        <w:rPr>
          <w:rFonts w:ascii="仿宋" w:hAnsi="仿宋" w:eastAsia="仿宋"/>
          <w:color w:val="000000"/>
          <w:sz w:val="32"/>
          <w:szCs w:val="32"/>
        </w:rPr>
        <w:t>%</w:t>
      </w:r>
      <w:r>
        <w:rPr>
          <w:rFonts w:hint="eastAsia" w:ascii="仿宋" w:hAnsi="仿宋" w:eastAsia="仿宋"/>
          <w:color w:val="000000"/>
          <w:sz w:val="32"/>
          <w:szCs w:val="32"/>
        </w:rPr>
        <w:t>。</w:t>
      </w:r>
      <w:bookmarkEnd w:id="60"/>
      <w:bookmarkEnd w:id="61"/>
      <w:bookmarkEnd w:id="62"/>
      <w:bookmarkEnd w:id="63"/>
    </w:p>
    <w:p>
      <w:pPr>
        <w:spacing w:line="240" w:lineRule="auto"/>
        <w:ind w:firstLine="643" w:firstLineChars="200"/>
        <w:outlineLvl w:val="1"/>
        <w:rPr>
          <w:rFonts w:hint="eastAsia" w:ascii="仿宋" w:hAnsi="仿宋" w:eastAsia="仿宋"/>
          <w:b/>
          <w:sz w:val="32"/>
          <w:szCs w:val="32"/>
        </w:rPr>
      </w:pPr>
      <w:bookmarkStart w:id="64" w:name="_Toc7155"/>
      <w:bookmarkStart w:id="65" w:name="_Toc24400"/>
      <w:bookmarkStart w:id="66" w:name="_Toc9694"/>
      <w:bookmarkStart w:id="67" w:name="_Toc14958"/>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w:t>
      </w:r>
      <w:bookmarkEnd w:id="64"/>
      <w:bookmarkEnd w:id="65"/>
      <w:bookmarkEnd w:id="66"/>
      <w:bookmarkEnd w:id="67"/>
    </w:p>
    <w:p>
      <w:pPr>
        <w:spacing w:line="240" w:lineRule="auto"/>
        <w:ind w:firstLine="643" w:firstLineChars="200"/>
        <w:outlineLvl w:val="1"/>
      </w:pPr>
      <w:bookmarkStart w:id="68" w:name="_Toc15539"/>
      <w:bookmarkStart w:id="69" w:name="_Toc18616"/>
      <w:bookmarkStart w:id="70" w:name="_Toc13507"/>
      <w:bookmarkStart w:id="71" w:name="_Toc23358"/>
      <w:r>
        <w:rPr>
          <w:rFonts w:hint="eastAsia" w:ascii="仿宋" w:hAnsi="仿宋" w:eastAsia="仿宋"/>
          <w:b/>
          <w:sz w:val="32"/>
          <w:szCs w:val="32"/>
        </w:rPr>
        <w:t>入。</w:t>
      </w:r>
      <w:r>
        <w:rPr>
          <w:rFonts w:ascii="仿宋" w:hAnsi="仿宋" w:eastAsia="仿宋"/>
          <w:b/>
          <w:sz w:val="32"/>
          <w:szCs w:val="32"/>
        </w:rPr>
        <w:t>）</w:t>
      </w:r>
      <w:bookmarkEnd w:id="68"/>
      <w:bookmarkEnd w:id="69"/>
      <w:bookmarkEnd w:id="70"/>
      <w:bookmarkEnd w:id="71"/>
    </w:p>
    <w:p>
      <w:pPr>
        <w:spacing w:line="240" w:lineRule="auto"/>
        <w:ind w:firstLine="420" w:firstLineChars="200"/>
        <w:jc w:val="center"/>
        <w:outlineLvl w:val="1"/>
        <w:rPr>
          <w:rFonts w:hint="eastAsia" w:ascii="仿宋" w:hAnsi="仿宋" w:eastAsia="仿宋"/>
          <w:sz w:val="32"/>
          <w:szCs w:val="32"/>
        </w:rPr>
      </w:pPr>
      <w:bookmarkStart w:id="72" w:name="_Toc31093"/>
      <w:bookmarkStart w:id="73" w:name="_Toc25442"/>
      <w:bookmarkStart w:id="74" w:name="_Toc5364"/>
      <w:bookmarkStart w:id="75" w:name="_Toc2367"/>
      <w:r>
        <w:drawing>
          <wp:inline distT="0" distB="0" distL="114300" distR="114300">
            <wp:extent cx="4372610" cy="2534285"/>
            <wp:effectExtent l="4445" t="4445" r="23495" b="13970"/>
            <wp:docPr id="1" name="图表 3" descr="7b0a202020202263686172745265734964223a20223230343735353839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End w:id="72"/>
      <w:bookmarkEnd w:id="73"/>
      <w:bookmarkEnd w:id="74"/>
      <w:bookmarkEnd w:id="75"/>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（图2：收入决算结构图）</w:t>
      </w:r>
    </w:p>
    <w:p>
      <w:pPr>
        <w:spacing w:line="600" w:lineRule="exact"/>
        <w:ind w:firstLine="640" w:firstLineChars="200"/>
        <w:rPr>
          <w:rFonts w:ascii="仿宋_GB2312" w:eastAsia="仿宋_GB2312"/>
          <w:sz w:val="32"/>
          <w:szCs w:val="32"/>
        </w:rPr>
      </w:pPr>
    </w:p>
    <w:p>
      <w:pPr>
        <w:pStyle w:val="24"/>
        <w:numPr>
          <w:ilvl w:val="0"/>
          <w:numId w:val="2"/>
        </w:numPr>
        <w:spacing w:line="600" w:lineRule="exact"/>
        <w:ind w:firstLineChars="0"/>
        <w:outlineLvl w:val="1"/>
        <w:rPr>
          <w:rStyle w:val="26"/>
          <w:rFonts w:ascii="黑体" w:hAnsi="黑体" w:eastAsia="黑体"/>
          <w:b w:val="0"/>
        </w:rPr>
      </w:pPr>
      <w:bookmarkStart w:id="76" w:name="_Toc19489"/>
      <w:bookmarkStart w:id="77" w:name="_Toc15377207"/>
      <w:bookmarkStart w:id="78" w:name="_Toc15396605"/>
      <w:bookmarkStart w:id="79" w:name="_Toc16642"/>
      <w:r>
        <w:rPr>
          <w:rFonts w:hint="eastAsia" w:ascii="黑体" w:hAnsi="黑体" w:eastAsia="黑体"/>
          <w:sz w:val="32"/>
          <w:szCs w:val="32"/>
        </w:rPr>
        <w:t>支</w:t>
      </w:r>
      <w:r>
        <w:rPr>
          <w:rStyle w:val="26"/>
          <w:rFonts w:hint="eastAsia" w:ascii="黑体" w:hAnsi="黑体" w:eastAsia="黑体"/>
          <w:b w:val="0"/>
        </w:rPr>
        <w:t>出决算情况说明</w:t>
      </w:r>
      <w:bookmarkEnd w:id="76"/>
      <w:bookmarkEnd w:id="77"/>
      <w:bookmarkEnd w:id="78"/>
      <w:bookmarkEnd w:id="79"/>
    </w:p>
    <w:p>
      <w:pPr>
        <w:spacing w:line="600" w:lineRule="exact"/>
        <w:ind w:firstLine="640" w:firstLineChars="200"/>
        <w:outlineLvl w:val="1"/>
        <w:rPr>
          <w:rFonts w:ascii="仿宋" w:hAnsi="仿宋" w:eastAsia="仿宋"/>
          <w:sz w:val="32"/>
          <w:szCs w:val="32"/>
        </w:rPr>
      </w:pPr>
      <w:bookmarkStart w:id="80" w:name="_Toc13483"/>
      <w:bookmarkStart w:id="81" w:name="_Toc32360"/>
      <w:bookmarkStart w:id="82" w:name="_Toc28583"/>
      <w:bookmarkStart w:id="83" w:name="_Toc1040"/>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年本年支出合计</w:t>
      </w:r>
      <w:r>
        <w:rPr>
          <w:rFonts w:hint="eastAsia" w:ascii="仿宋" w:hAnsi="仿宋" w:eastAsia="仿宋"/>
          <w:color w:val="000000"/>
          <w:sz w:val="32"/>
          <w:szCs w:val="32"/>
          <w:lang w:val="en-US" w:eastAsia="zh-CN"/>
        </w:rPr>
        <w:t>120247.22</w:t>
      </w:r>
      <w:r>
        <w:rPr>
          <w:rFonts w:hint="eastAsia" w:ascii="仿宋" w:hAnsi="仿宋" w:eastAsia="仿宋"/>
          <w:sz w:val="32"/>
          <w:szCs w:val="32"/>
        </w:rPr>
        <w:t>万元，其中：基本支出</w:t>
      </w:r>
      <w:r>
        <w:rPr>
          <w:rFonts w:hint="eastAsia" w:ascii="仿宋" w:hAnsi="仿宋" w:eastAsia="仿宋"/>
          <w:sz w:val="32"/>
          <w:szCs w:val="32"/>
          <w:lang w:val="en-US" w:eastAsia="zh-CN"/>
        </w:rPr>
        <w:t>116534.19</w:t>
      </w:r>
      <w:r>
        <w:rPr>
          <w:rFonts w:hint="eastAsia" w:ascii="仿宋" w:hAnsi="仿宋" w:eastAsia="仿宋"/>
          <w:sz w:val="32"/>
          <w:szCs w:val="32"/>
        </w:rPr>
        <w:t>万元，占96.9</w:t>
      </w:r>
      <w:r>
        <w:rPr>
          <w:rFonts w:hint="eastAsia" w:ascii="仿宋" w:hAnsi="仿宋" w:eastAsia="仿宋"/>
          <w:sz w:val="32"/>
          <w:szCs w:val="32"/>
          <w:lang w:val="en-US" w:eastAsia="zh-CN"/>
        </w:rPr>
        <w:t>1</w:t>
      </w:r>
      <w:r>
        <w:rPr>
          <w:rFonts w:hint="eastAsia" w:ascii="仿宋" w:hAnsi="仿宋" w:eastAsia="仿宋"/>
          <w:sz w:val="32"/>
          <w:szCs w:val="32"/>
        </w:rPr>
        <w:t>%；项目支出3</w:t>
      </w:r>
      <w:r>
        <w:rPr>
          <w:rFonts w:hint="eastAsia" w:ascii="仿宋" w:hAnsi="仿宋" w:eastAsia="仿宋"/>
          <w:sz w:val="32"/>
          <w:szCs w:val="32"/>
          <w:lang w:val="en-US" w:eastAsia="zh-CN"/>
        </w:rPr>
        <w:t>713.03</w:t>
      </w:r>
      <w:r>
        <w:rPr>
          <w:rFonts w:hint="eastAsia" w:ascii="仿宋" w:hAnsi="仿宋" w:eastAsia="仿宋"/>
          <w:sz w:val="32"/>
          <w:szCs w:val="32"/>
        </w:rPr>
        <w:t>万元，占3.0</w:t>
      </w:r>
      <w:r>
        <w:rPr>
          <w:rFonts w:hint="eastAsia" w:ascii="仿宋" w:hAnsi="仿宋" w:eastAsia="仿宋"/>
          <w:sz w:val="32"/>
          <w:szCs w:val="32"/>
          <w:lang w:val="en-US" w:eastAsia="zh-CN"/>
        </w:rPr>
        <w:t>9</w:t>
      </w:r>
      <w:r>
        <w:rPr>
          <w:rFonts w:hint="eastAsia" w:ascii="仿宋" w:hAnsi="仿宋" w:eastAsia="仿宋"/>
          <w:sz w:val="32"/>
          <w:szCs w:val="32"/>
        </w:rPr>
        <w:t>%；上缴上级支出0万元，占0%；经营支出0万元，占0%；对附属单位补助支出0万元，占0%。</w:t>
      </w:r>
      <w:bookmarkEnd w:id="80"/>
      <w:bookmarkEnd w:id="81"/>
      <w:bookmarkEnd w:id="82"/>
      <w:bookmarkEnd w:id="83"/>
    </w:p>
    <w:p>
      <w:pPr>
        <w:spacing w:line="600" w:lineRule="exact"/>
        <w:ind w:firstLine="643" w:firstLineChars="200"/>
        <w:outlineLvl w:val="1"/>
        <w:rPr>
          <w:rFonts w:hint="eastAsia" w:ascii="仿宋" w:hAnsi="仿宋" w:eastAsia="仿宋"/>
          <w:b/>
          <w:sz w:val="32"/>
          <w:szCs w:val="32"/>
        </w:rPr>
      </w:pPr>
      <w:bookmarkStart w:id="84" w:name="_Toc7648"/>
      <w:bookmarkStart w:id="85" w:name="_Toc25307"/>
      <w:bookmarkStart w:id="86" w:name="_Toc29351"/>
      <w:bookmarkStart w:id="87" w:name="_Toc11473"/>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bookmarkEnd w:id="84"/>
      <w:bookmarkEnd w:id="85"/>
      <w:bookmarkEnd w:id="86"/>
      <w:bookmarkEnd w:id="87"/>
    </w:p>
    <w:p>
      <w:pPr>
        <w:pStyle w:val="2"/>
        <w:jc w:val="center"/>
        <w:rPr>
          <w:rFonts w:hint="eastAsia" w:eastAsia="仿宋"/>
          <w:lang w:eastAsia="zh-CN"/>
        </w:rPr>
      </w:pPr>
      <w:r>
        <w:drawing>
          <wp:inline distT="0" distB="0" distL="114300" distR="114300">
            <wp:extent cx="4219575" cy="2505710"/>
            <wp:effectExtent l="4445" t="4445" r="5080" b="61595"/>
            <wp:docPr id="2" name="图表 5" descr="7b0a202020202263686172745265734964223a20223230343736303930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outlineLvl w:val="1"/>
        <w:rPr>
          <w:rFonts w:ascii="仿宋" w:hAnsi="仿宋" w:eastAsia="仿宋"/>
          <w:sz w:val="32"/>
          <w:szCs w:val="32"/>
        </w:rPr>
      </w:pPr>
      <w:bookmarkStart w:id="88" w:name="_Toc2561"/>
      <w:bookmarkStart w:id="89" w:name="_Toc28804"/>
      <w:bookmarkStart w:id="90" w:name="_Toc15616"/>
      <w:bookmarkStart w:id="91" w:name="_Toc1740"/>
      <w:r>
        <w:rPr>
          <w:rFonts w:hint="eastAsia" w:ascii="仿宋" w:hAnsi="仿宋" w:eastAsia="仿宋"/>
          <w:sz w:val="32"/>
          <w:szCs w:val="32"/>
        </w:rPr>
        <w:t>（图3：支出决算结构图）</w:t>
      </w:r>
      <w:bookmarkEnd w:id="88"/>
      <w:bookmarkEnd w:id="89"/>
      <w:bookmarkEnd w:id="90"/>
      <w:bookmarkEnd w:id="91"/>
    </w:p>
    <w:p>
      <w:pPr>
        <w:spacing w:line="600" w:lineRule="exact"/>
        <w:rPr>
          <w:rFonts w:ascii="仿宋_GB2312" w:eastAsia="仿宋_GB2312"/>
          <w:sz w:val="32"/>
          <w:szCs w:val="32"/>
        </w:rPr>
      </w:pPr>
    </w:p>
    <w:p>
      <w:pPr>
        <w:spacing w:line="600" w:lineRule="exact"/>
        <w:ind w:firstLine="640" w:firstLineChars="200"/>
        <w:outlineLvl w:val="1"/>
        <w:rPr>
          <w:rStyle w:val="26"/>
          <w:rFonts w:ascii="黑体" w:hAnsi="黑体" w:eastAsia="黑体"/>
          <w:b w:val="0"/>
        </w:rPr>
      </w:pPr>
      <w:bookmarkStart w:id="92" w:name="_Toc17849"/>
      <w:bookmarkStart w:id="93" w:name="_Toc9351"/>
      <w:bookmarkStart w:id="94" w:name="_Toc15396606"/>
      <w:bookmarkStart w:id="95" w:name="_Toc15377208"/>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92"/>
      <w:bookmarkEnd w:id="93"/>
      <w:bookmarkEnd w:id="94"/>
      <w:bookmarkEnd w:id="95"/>
    </w:p>
    <w:p>
      <w:pPr>
        <w:spacing w:line="600" w:lineRule="exact"/>
        <w:ind w:firstLine="64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年财政拨款收</w:t>
      </w:r>
      <w:r>
        <w:rPr>
          <w:rFonts w:hint="eastAsia" w:ascii="仿宋" w:hAnsi="仿宋" w:eastAsia="仿宋"/>
          <w:sz w:val="32"/>
          <w:szCs w:val="32"/>
          <w:lang w:eastAsia="zh-CN"/>
        </w:rPr>
        <w:t>、</w:t>
      </w:r>
      <w:r>
        <w:rPr>
          <w:rFonts w:hint="eastAsia" w:ascii="仿宋" w:hAnsi="仿宋" w:eastAsia="仿宋"/>
          <w:sz w:val="32"/>
          <w:szCs w:val="32"/>
        </w:rPr>
        <w:t>支总计</w:t>
      </w:r>
      <w:r>
        <w:rPr>
          <w:rFonts w:hint="eastAsia" w:ascii="仿宋" w:hAnsi="仿宋" w:eastAsia="仿宋"/>
          <w:sz w:val="32"/>
          <w:szCs w:val="32"/>
          <w:lang w:val="en-US" w:eastAsia="zh-CN"/>
        </w:rPr>
        <w:t>9725.52</w:t>
      </w:r>
      <w:r>
        <w:rPr>
          <w:rFonts w:hint="eastAsia" w:ascii="仿宋" w:hAnsi="仿宋" w:eastAsia="仿宋"/>
          <w:sz w:val="32"/>
          <w:szCs w:val="32"/>
        </w:rPr>
        <w:t>万元。与202</w:t>
      </w:r>
      <w:r>
        <w:rPr>
          <w:rFonts w:hint="eastAsia" w:ascii="仿宋" w:hAnsi="仿宋" w:eastAsia="仿宋"/>
          <w:sz w:val="32"/>
          <w:szCs w:val="32"/>
          <w:lang w:val="en-US" w:eastAsia="zh-CN"/>
        </w:rPr>
        <w:t>1</w:t>
      </w:r>
      <w:r>
        <w:rPr>
          <w:rFonts w:hint="eastAsia" w:ascii="仿宋" w:hAnsi="仿宋" w:eastAsia="仿宋"/>
          <w:sz w:val="32"/>
          <w:szCs w:val="32"/>
        </w:rPr>
        <w:t>年相比，财政拨款收</w:t>
      </w:r>
      <w:r>
        <w:rPr>
          <w:rFonts w:hint="eastAsia" w:ascii="仿宋" w:hAnsi="仿宋" w:eastAsia="仿宋"/>
          <w:sz w:val="32"/>
          <w:szCs w:val="32"/>
          <w:lang w:eastAsia="zh-CN"/>
        </w:rPr>
        <w:t>、</w:t>
      </w:r>
      <w:r>
        <w:rPr>
          <w:rFonts w:hint="eastAsia" w:ascii="仿宋" w:hAnsi="仿宋" w:eastAsia="仿宋"/>
          <w:sz w:val="32"/>
          <w:szCs w:val="32"/>
        </w:rPr>
        <w:t>支总计</w:t>
      </w:r>
      <w:r>
        <w:rPr>
          <w:rFonts w:hint="eastAsia" w:ascii="仿宋" w:hAnsi="仿宋" w:eastAsia="仿宋"/>
          <w:sz w:val="32"/>
          <w:szCs w:val="32"/>
          <w:lang w:eastAsia="zh-CN"/>
        </w:rPr>
        <w:t>各</w:t>
      </w:r>
      <w:r>
        <w:rPr>
          <w:rFonts w:hint="eastAsia" w:ascii="仿宋" w:hAnsi="仿宋" w:eastAsia="仿宋"/>
          <w:sz w:val="32"/>
          <w:szCs w:val="32"/>
        </w:rPr>
        <w:t>增加</w:t>
      </w:r>
      <w:r>
        <w:rPr>
          <w:rFonts w:hint="eastAsia" w:ascii="仿宋" w:hAnsi="仿宋" w:eastAsia="仿宋"/>
          <w:sz w:val="32"/>
          <w:szCs w:val="32"/>
          <w:lang w:val="en-US" w:eastAsia="zh-CN"/>
        </w:rPr>
        <w:t>16.66</w:t>
      </w:r>
      <w:r>
        <w:rPr>
          <w:rFonts w:hint="eastAsia" w:ascii="仿宋" w:hAnsi="仿宋" w:eastAsia="仿宋"/>
          <w:sz w:val="32"/>
          <w:szCs w:val="32"/>
        </w:rPr>
        <w:t>万元，增长</w:t>
      </w:r>
      <w:r>
        <w:rPr>
          <w:rFonts w:hint="eastAsia" w:ascii="仿宋" w:hAnsi="仿宋" w:eastAsia="仿宋"/>
          <w:sz w:val="32"/>
          <w:szCs w:val="32"/>
          <w:lang w:val="en-US" w:eastAsia="zh-CN"/>
        </w:rPr>
        <w:t>0.17</w:t>
      </w:r>
      <w:r>
        <w:rPr>
          <w:rFonts w:hint="eastAsia" w:ascii="仿宋" w:hAnsi="仿宋" w:eastAsia="仿宋"/>
          <w:sz w:val="32"/>
          <w:szCs w:val="32"/>
        </w:rPr>
        <w:t>%。主要变动原因是项目</w:t>
      </w:r>
      <w:r>
        <w:rPr>
          <w:rFonts w:hint="eastAsia" w:ascii="仿宋" w:hAnsi="仿宋" w:eastAsia="仿宋"/>
          <w:sz w:val="32"/>
          <w:szCs w:val="32"/>
          <w:lang w:eastAsia="zh-CN"/>
        </w:rPr>
        <w:t>收入、</w:t>
      </w:r>
      <w:r>
        <w:rPr>
          <w:rFonts w:hint="eastAsia" w:ascii="仿宋" w:hAnsi="仿宋" w:eastAsia="仿宋"/>
          <w:sz w:val="32"/>
          <w:szCs w:val="32"/>
        </w:rPr>
        <w:t>支出增加了</w:t>
      </w:r>
      <w:r>
        <w:rPr>
          <w:rFonts w:hint="eastAsia" w:ascii="仿宋" w:hAnsi="仿宋" w:eastAsia="仿宋"/>
          <w:sz w:val="32"/>
          <w:szCs w:val="32"/>
          <w:lang w:val="en-US" w:eastAsia="zh-CN"/>
        </w:rPr>
        <w:t>220.78</w:t>
      </w:r>
      <w:r>
        <w:rPr>
          <w:rFonts w:hint="eastAsia" w:ascii="仿宋" w:hAnsi="仿宋" w:eastAsia="仿宋"/>
          <w:sz w:val="32"/>
          <w:szCs w:val="32"/>
        </w:rPr>
        <w:t>万元，</w:t>
      </w:r>
      <w:r>
        <w:rPr>
          <w:rFonts w:hint="eastAsia" w:ascii="仿宋" w:hAnsi="仿宋" w:eastAsia="仿宋"/>
          <w:sz w:val="32"/>
          <w:szCs w:val="32"/>
          <w:lang w:eastAsia="zh-CN"/>
        </w:rPr>
        <w:t>基本收入、支出减少了</w:t>
      </w:r>
      <w:r>
        <w:rPr>
          <w:rFonts w:hint="eastAsia" w:ascii="仿宋" w:hAnsi="仿宋" w:eastAsia="仿宋"/>
          <w:sz w:val="32"/>
          <w:szCs w:val="32"/>
          <w:lang w:val="en-US" w:eastAsia="zh-CN"/>
        </w:rPr>
        <w:t>204.12万元</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spacing w:line="240" w:lineRule="auto"/>
        <w:jc w:val="center"/>
        <w:rPr>
          <w:rFonts w:hint="eastAsia" w:ascii="仿宋" w:hAnsi="仿宋" w:eastAsia="仿宋"/>
          <w:sz w:val="32"/>
          <w:szCs w:val="32"/>
          <w:lang w:eastAsia="zh-CN"/>
        </w:rPr>
      </w:pPr>
      <w:r>
        <w:drawing>
          <wp:inline distT="0" distB="0" distL="114300" distR="114300">
            <wp:extent cx="4381500" cy="2571750"/>
            <wp:effectExtent l="4445" t="4445" r="1460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pPr>
      <w:r>
        <w:rPr>
          <w:rFonts w:hint="eastAsia" w:ascii="仿宋" w:hAnsi="仿宋" w:eastAsia="仿宋"/>
          <w:sz w:val="32"/>
          <w:szCs w:val="32"/>
        </w:rPr>
        <w:t>（图4：财政拨款收、支决算总计变动情况）</w:t>
      </w:r>
    </w:p>
    <w:p>
      <w:pPr>
        <w:spacing w:line="600" w:lineRule="exact"/>
        <w:ind w:firstLine="640" w:firstLineChars="200"/>
        <w:outlineLvl w:val="1"/>
        <w:rPr>
          <w:rStyle w:val="26"/>
          <w:rFonts w:ascii="黑体" w:hAnsi="黑体" w:eastAsia="黑体"/>
          <w:b w:val="0"/>
        </w:rPr>
      </w:pPr>
      <w:bookmarkStart w:id="96" w:name="_Toc7478"/>
      <w:bookmarkStart w:id="97" w:name="_Toc15396607"/>
      <w:bookmarkStart w:id="98" w:name="_Toc15377209"/>
      <w:bookmarkStart w:id="99" w:name="_Toc21858"/>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96"/>
      <w:bookmarkEnd w:id="97"/>
      <w:bookmarkEnd w:id="98"/>
      <w:bookmarkEnd w:id="99"/>
    </w:p>
    <w:p>
      <w:pPr>
        <w:spacing w:line="600" w:lineRule="exact"/>
        <w:ind w:firstLine="643" w:firstLineChars="200"/>
        <w:outlineLvl w:val="2"/>
        <w:rPr>
          <w:rFonts w:ascii="仿宋" w:hAnsi="仿宋" w:eastAsia="仿宋"/>
          <w:b/>
          <w:sz w:val="32"/>
          <w:szCs w:val="32"/>
        </w:rPr>
      </w:pPr>
      <w:bookmarkStart w:id="100" w:name="_Toc15377210"/>
      <w:bookmarkStart w:id="101" w:name="_Toc5625"/>
      <w:r>
        <w:rPr>
          <w:rFonts w:hint="eastAsia" w:ascii="仿宋" w:hAnsi="仿宋" w:eastAsia="仿宋"/>
          <w:b/>
          <w:sz w:val="32"/>
          <w:szCs w:val="32"/>
        </w:rPr>
        <w:t>（一）一般公共预算财政拨款支出决算总体情况</w:t>
      </w:r>
      <w:bookmarkEnd w:id="100"/>
      <w:bookmarkEnd w:id="101"/>
    </w:p>
    <w:p>
      <w:pPr>
        <w:spacing w:line="360" w:lineRule="auto"/>
        <w:ind w:firstLine="640" w:firstLineChars="200"/>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年一般公共预算财政拨款支出97</w:t>
      </w:r>
      <w:r>
        <w:rPr>
          <w:rFonts w:hint="eastAsia" w:ascii="仿宋" w:hAnsi="仿宋" w:eastAsia="仿宋"/>
          <w:sz w:val="32"/>
          <w:szCs w:val="32"/>
          <w:lang w:val="en-US" w:eastAsia="zh-CN"/>
        </w:rPr>
        <w:t>25.52</w:t>
      </w:r>
      <w:r>
        <w:rPr>
          <w:rFonts w:hint="eastAsia" w:ascii="仿宋" w:hAnsi="仿宋" w:eastAsia="仿宋"/>
          <w:sz w:val="32"/>
          <w:szCs w:val="32"/>
        </w:rPr>
        <w:t>万元，占本年支出合计的8.</w:t>
      </w:r>
      <w:r>
        <w:rPr>
          <w:rFonts w:hint="eastAsia" w:ascii="仿宋" w:hAnsi="仿宋" w:eastAsia="仿宋"/>
          <w:sz w:val="32"/>
          <w:szCs w:val="32"/>
          <w:lang w:val="en-US" w:eastAsia="zh-CN"/>
        </w:rPr>
        <w:t>09</w:t>
      </w:r>
      <w:r>
        <w:rPr>
          <w:rFonts w:hint="eastAsia" w:ascii="仿宋" w:hAnsi="仿宋" w:eastAsia="仿宋"/>
          <w:sz w:val="32"/>
          <w:szCs w:val="32"/>
        </w:rPr>
        <w:t>%。与202</w:t>
      </w:r>
      <w:r>
        <w:rPr>
          <w:rFonts w:hint="eastAsia" w:ascii="仿宋" w:hAnsi="仿宋" w:eastAsia="仿宋"/>
          <w:sz w:val="32"/>
          <w:szCs w:val="32"/>
          <w:lang w:val="en-US" w:eastAsia="zh-CN"/>
        </w:rPr>
        <w:t>1</w:t>
      </w:r>
      <w:r>
        <w:rPr>
          <w:rFonts w:hint="eastAsia" w:ascii="仿宋" w:hAnsi="仿宋" w:eastAsia="仿宋"/>
          <w:sz w:val="32"/>
          <w:szCs w:val="32"/>
        </w:rPr>
        <w:t>年的</w:t>
      </w:r>
      <w:r>
        <w:rPr>
          <w:rFonts w:hint="eastAsia" w:ascii="仿宋" w:hAnsi="仿宋" w:eastAsia="仿宋"/>
          <w:sz w:val="32"/>
          <w:szCs w:val="32"/>
          <w:lang w:val="en-US" w:eastAsia="zh-CN"/>
        </w:rPr>
        <w:t>9708.86</w:t>
      </w:r>
      <w:r>
        <w:rPr>
          <w:rFonts w:hint="eastAsia" w:ascii="仿宋" w:hAnsi="仿宋" w:eastAsia="仿宋"/>
          <w:sz w:val="32"/>
          <w:szCs w:val="32"/>
        </w:rPr>
        <w:t>万元相比，一般公共预算财政拨款</w:t>
      </w:r>
      <w:r>
        <w:rPr>
          <w:rFonts w:hint="eastAsia" w:ascii="仿宋" w:hAnsi="仿宋" w:eastAsia="仿宋"/>
          <w:sz w:val="32"/>
          <w:szCs w:val="32"/>
          <w:lang w:eastAsia="zh-CN"/>
        </w:rPr>
        <w:t>增加</w:t>
      </w:r>
      <w:r>
        <w:rPr>
          <w:rFonts w:hint="eastAsia" w:ascii="仿宋" w:hAnsi="仿宋" w:eastAsia="仿宋"/>
          <w:sz w:val="32"/>
          <w:szCs w:val="32"/>
        </w:rPr>
        <w:t>16</w:t>
      </w:r>
      <w:r>
        <w:rPr>
          <w:rFonts w:hint="eastAsia" w:ascii="仿宋" w:hAnsi="仿宋" w:eastAsia="仿宋"/>
          <w:sz w:val="32"/>
          <w:szCs w:val="32"/>
          <w:lang w:val="en-US" w:eastAsia="zh-CN"/>
        </w:rPr>
        <w:t>.66</w:t>
      </w:r>
      <w:r>
        <w:rPr>
          <w:rFonts w:hint="eastAsia" w:ascii="仿宋" w:hAnsi="仿宋" w:eastAsia="仿宋"/>
          <w:sz w:val="32"/>
          <w:szCs w:val="32"/>
        </w:rPr>
        <w:t>万元，增长</w:t>
      </w:r>
      <w:r>
        <w:rPr>
          <w:rFonts w:hint="eastAsia" w:ascii="仿宋" w:hAnsi="仿宋" w:eastAsia="仿宋"/>
          <w:sz w:val="32"/>
          <w:szCs w:val="32"/>
          <w:lang w:val="en-US" w:eastAsia="zh-CN"/>
        </w:rPr>
        <w:t>0.17</w:t>
      </w:r>
      <w:r>
        <w:rPr>
          <w:rFonts w:hint="eastAsia" w:ascii="仿宋" w:hAnsi="仿宋" w:eastAsia="仿宋"/>
          <w:sz w:val="32"/>
          <w:szCs w:val="32"/>
        </w:rPr>
        <w:t>%。主要变动原因一般公共预算财政拨款基本支出</w:t>
      </w:r>
      <w:r>
        <w:rPr>
          <w:rFonts w:hint="eastAsia" w:ascii="仿宋" w:hAnsi="仿宋" w:eastAsia="仿宋"/>
          <w:sz w:val="32"/>
          <w:szCs w:val="32"/>
          <w:lang w:eastAsia="zh-CN"/>
        </w:rPr>
        <w:t>减少</w:t>
      </w:r>
      <w:r>
        <w:rPr>
          <w:rFonts w:hint="eastAsia" w:ascii="仿宋" w:hAnsi="仿宋" w:eastAsia="仿宋"/>
          <w:sz w:val="32"/>
          <w:szCs w:val="32"/>
        </w:rPr>
        <w:t>了</w:t>
      </w:r>
      <w:r>
        <w:rPr>
          <w:rFonts w:hint="eastAsia" w:ascii="仿宋" w:hAnsi="仿宋" w:eastAsia="仿宋"/>
          <w:sz w:val="32"/>
          <w:szCs w:val="32"/>
          <w:lang w:val="en-US" w:eastAsia="zh-CN"/>
        </w:rPr>
        <w:t>204.12</w:t>
      </w:r>
      <w:r>
        <w:rPr>
          <w:rFonts w:hint="eastAsia" w:ascii="仿宋" w:hAnsi="仿宋" w:eastAsia="仿宋"/>
          <w:sz w:val="32"/>
          <w:szCs w:val="32"/>
        </w:rPr>
        <w:t>万元，一般公共预算财政拨款项目支出增加了</w:t>
      </w:r>
      <w:r>
        <w:rPr>
          <w:rFonts w:hint="eastAsia" w:ascii="仿宋" w:hAnsi="仿宋" w:eastAsia="仿宋"/>
          <w:sz w:val="32"/>
          <w:szCs w:val="32"/>
          <w:lang w:val="en-US" w:eastAsia="zh-CN"/>
        </w:rPr>
        <w:t>220.78</w:t>
      </w:r>
      <w:r>
        <w:rPr>
          <w:rFonts w:hint="eastAsia" w:ascii="仿宋" w:hAnsi="仿宋" w:eastAsia="仿宋"/>
          <w:sz w:val="32"/>
          <w:szCs w:val="32"/>
        </w:rPr>
        <w:t>万元。</w:t>
      </w:r>
    </w:p>
    <w:p>
      <w:pPr>
        <w:spacing w:line="240" w:lineRule="auto"/>
        <w:jc w:val="center"/>
        <w:rPr>
          <w:rFonts w:hint="eastAsia" w:ascii="仿宋" w:hAnsi="仿宋" w:eastAsia="仿宋"/>
          <w:color w:val="000000"/>
          <w:sz w:val="32"/>
          <w:szCs w:val="32"/>
          <w:lang w:eastAsia="zh-CN"/>
        </w:rPr>
      </w:pPr>
      <w:r>
        <w:drawing>
          <wp:inline distT="0" distB="0" distL="114300" distR="114300">
            <wp:extent cx="4572000" cy="2743200"/>
            <wp:effectExtent l="4445" t="4445" r="14605" b="14605"/>
            <wp:docPr id="4"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240" w:lineRule="auto"/>
        <w:jc w:val="center"/>
        <w:rPr>
          <w:rFonts w:hint="eastAsia"/>
        </w:rPr>
      </w:pPr>
      <w:r>
        <w:rPr>
          <w:rFonts w:hint="eastAsia" w:ascii="仿宋" w:hAnsi="仿宋" w:eastAsia="仿宋"/>
          <w:sz w:val="32"/>
          <w:szCs w:val="32"/>
        </w:rPr>
        <w:t>（图5：一般公共预算财政拨款支出决算变动情况）</w:t>
      </w:r>
      <w:bookmarkStart w:id="102" w:name="_Toc15377211"/>
    </w:p>
    <w:p>
      <w:pPr>
        <w:pStyle w:val="2"/>
        <w:spacing w:line="240" w:lineRule="auto"/>
        <w:rPr>
          <w:rFonts w:hint="eastAsia"/>
        </w:rPr>
      </w:pPr>
    </w:p>
    <w:p>
      <w:pPr>
        <w:spacing w:line="600" w:lineRule="exact"/>
        <w:ind w:firstLine="643" w:firstLineChars="200"/>
        <w:outlineLvl w:val="2"/>
        <w:rPr>
          <w:rFonts w:ascii="仿宋" w:hAnsi="仿宋" w:eastAsia="仿宋"/>
          <w:b/>
          <w:sz w:val="32"/>
          <w:szCs w:val="32"/>
        </w:rPr>
      </w:pPr>
      <w:bookmarkStart w:id="103" w:name="_Toc29041"/>
      <w:r>
        <w:rPr>
          <w:rFonts w:hint="eastAsia" w:ascii="仿宋" w:hAnsi="仿宋" w:eastAsia="仿宋"/>
          <w:b/>
          <w:sz w:val="32"/>
          <w:szCs w:val="32"/>
        </w:rPr>
        <w:t>（二）一般公共预算财政拨款支出决算结构情况</w:t>
      </w:r>
      <w:bookmarkEnd w:id="102"/>
      <w:bookmarkEnd w:id="103"/>
    </w:p>
    <w:p>
      <w:pPr>
        <w:spacing w:line="600" w:lineRule="exact"/>
        <w:ind w:firstLine="640"/>
        <w:rPr>
          <w:rFonts w:hint="eastAsia" w:ascii="仿宋" w:hAnsi="仿宋" w:eastAsia="仿宋"/>
          <w:b/>
          <w:sz w:val="32"/>
          <w:szCs w:val="32"/>
          <w:lang w:val="en-US" w:eastAsia="zh-CN"/>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9725.52</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支出0万元，占0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教育支出（类）</w:t>
      </w:r>
      <w:r>
        <w:rPr>
          <w:rFonts w:hint="eastAsia" w:ascii="仿宋" w:hAnsi="仿宋" w:eastAsia="仿宋"/>
          <w:color w:val="000000" w:themeColor="text1"/>
          <w:sz w:val="32"/>
          <w:szCs w:val="32"/>
          <w14:textFill>
            <w14:solidFill>
              <w14:schemeClr w14:val="tx1"/>
            </w14:solidFill>
          </w14:textFill>
        </w:rPr>
        <w:t>0万元，占0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科学技术（类）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26.95</w:t>
      </w:r>
      <w:r>
        <w:rPr>
          <w:rFonts w:hint="eastAsia" w:ascii="仿宋" w:hAnsi="仿宋" w:eastAsia="仿宋"/>
          <w:color w:val="000000" w:themeColor="text1"/>
          <w:sz w:val="32"/>
          <w:szCs w:val="32"/>
          <w14:textFill>
            <w14:solidFill>
              <w14:schemeClr w14:val="tx1"/>
            </w14:solidFill>
          </w14:textFill>
        </w:rPr>
        <w:t>万元，占0.</w:t>
      </w:r>
      <w:r>
        <w:rPr>
          <w:rFonts w:hint="eastAsia" w:ascii="仿宋" w:hAnsi="仿宋" w:eastAsia="仿宋"/>
          <w:color w:val="000000" w:themeColor="text1"/>
          <w:sz w:val="32"/>
          <w:szCs w:val="32"/>
          <w:lang w:val="en-US" w:eastAsia="zh-CN"/>
          <w14:textFill>
            <w14:solidFill>
              <w14:schemeClr w14:val="tx1"/>
            </w14:solidFill>
          </w14:textFill>
        </w:rPr>
        <w:t>28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sz w:val="32"/>
          <w:szCs w:val="32"/>
        </w:rPr>
        <w:t>文化旅游体育与传媒（类）支出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2570.68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26.43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sz w:val="32"/>
          <w:szCs w:val="32"/>
        </w:rPr>
        <w:t>卫生健康支出</w:t>
      </w:r>
      <w:r>
        <w:rPr>
          <w:rFonts w:hint="eastAsia" w:ascii="仿宋" w:hAnsi="仿宋" w:eastAsia="仿宋"/>
          <w:color w:val="000000" w:themeColor="text1"/>
          <w:sz w:val="32"/>
          <w:szCs w:val="32"/>
          <w:lang w:val="en-US" w:eastAsia="zh-CN"/>
          <w14:textFill>
            <w14:solidFill>
              <w14:schemeClr w14:val="tx1"/>
            </w14:solidFill>
          </w14:textFill>
        </w:rPr>
        <w:t>7127.88</w:t>
      </w:r>
      <w:r>
        <w:rPr>
          <w:rFonts w:hint="eastAsia" w:ascii="仿宋" w:hAnsi="仿宋" w:eastAsia="仿宋"/>
          <w:sz w:val="32"/>
          <w:szCs w:val="32"/>
        </w:rPr>
        <w:t>万元，占</w:t>
      </w:r>
      <w:r>
        <w:rPr>
          <w:rFonts w:hint="eastAsia" w:ascii="仿宋" w:hAnsi="仿宋" w:eastAsia="仿宋"/>
          <w:color w:val="000000" w:themeColor="text1"/>
          <w:sz w:val="32"/>
          <w:szCs w:val="32"/>
          <w:lang w:val="en-US" w:eastAsia="zh-CN"/>
          <w14:textFill>
            <w14:solidFill>
              <w14:schemeClr w14:val="tx1"/>
            </w14:solidFill>
          </w14:textFill>
        </w:rPr>
        <w:t>73.29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Times New Roman"/>
          <w:b/>
          <w:bCs/>
          <w:sz w:val="32"/>
          <w:szCs w:val="32"/>
        </w:rPr>
        <w:t>住房保障支出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lang w:eastAsia="zh-CN"/>
        </w:rPr>
        <w:t>。</w:t>
      </w:r>
    </w:p>
    <w:p>
      <w:pPr>
        <w:spacing w:line="600" w:lineRule="exact"/>
        <w:ind w:firstLine="640"/>
      </w:pPr>
      <w:r>
        <w:rPr>
          <w:rFonts w:hint="eastAsia" w:ascii="仿宋" w:hAnsi="仿宋" w:eastAsia="仿宋"/>
          <w:b/>
          <w:sz w:val="32"/>
          <w:szCs w:val="32"/>
        </w:rPr>
        <w:t>（注：数据来源于财决01-1表，仅罗列本单位涉及的全部功能分类科目，至类级。）</w:t>
      </w:r>
    </w:p>
    <w:p>
      <w:pPr>
        <w:spacing w:line="240" w:lineRule="auto"/>
        <w:ind w:firstLine="640"/>
        <w:jc w:val="center"/>
        <w:rPr>
          <w:rFonts w:hint="eastAsia" w:ascii="仿宋" w:hAnsi="仿宋" w:eastAsia="仿宋"/>
          <w:sz w:val="32"/>
          <w:szCs w:val="32"/>
          <w:lang w:eastAsia="zh-CN"/>
        </w:rPr>
      </w:pPr>
      <w:r>
        <w:drawing>
          <wp:inline distT="0" distB="0" distL="114300" distR="114300">
            <wp:extent cx="4572000" cy="2743200"/>
            <wp:effectExtent l="4445" t="4445" r="14605" b="1460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104" w:name="_Toc15377212"/>
      <w:bookmarkStart w:id="105" w:name="_Toc884"/>
      <w:r>
        <w:rPr>
          <w:rFonts w:hint="eastAsia" w:ascii="仿宋" w:hAnsi="仿宋" w:eastAsia="仿宋"/>
          <w:b/>
          <w:sz w:val="32"/>
          <w:szCs w:val="32"/>
        </w:rPr>
        <w:t>（三）一般公共预算财政拨款支出决算具体情况</w:t>
      </w:r>
      <w:bookmarkEnd w:id="104"/>
      <w:bookmarkEnd w:id="105"/>
    </w:p>
    <w:p>
      <w:pPr>
        <w:spacing w:line="600" w:lineRule="exact"/>
        <w:ind w:firstLine="643" w:firstLineChars="200"/>
        <w:outlineLvl w:val="2"/>
        <w:rPr>
          <w:rFonts w:ascii="仿宋" w:hAnsi="仿宋" w:eastAsia="仿宋"/>
          <w:sz w:val="32"/>
          <w:szCs w:val="32"/>
        </w:rPr>
      </w:pPr>
      <w:bookmarkStart w:id="106" w:name="_Toc15378460"/>
      <w:bookmarkStart w:id="107" w:name="_Toc16152"/>
      <w:bookmarkStart w:id="108" w:name="_Toc15377444"/>
      <w:bookmarkStart w:id="109" w:name="_Toc15377213"/>
      <w:r>
        <w:rPr>
          <w:rFonts w:hint="eastAsia" w:ascii="仿宋" w:hAnsi="仿宋" w:eastAsia="仿宋"/>
          <w:b/>
          <w:sz w:val="32"/>
          <w:szCs w:val="32"/>
        </w:rPr>
        <w:t>202</w:t>
      </w:r>
      <w:r>
        <w:rPr>
          <w:rFonts w:hint="eastAsia" w:ascii="仿宋" w:hAnsi="仿宋" w:eastAsia="仿宋"/>
          <w:b/>
          <w:sz w:val="32"/>
          <w:szCs w:val="32"/>
          <w:lang w:val="en-US" w:eastAsia="zh-CN"/>
        </w:rPr>
        <w:t>2</w:t>
      </w:r>
      <w:r>
        <w:rPr>
          <w:rFonts w:hint="eastAsia" w:ascii="仿宋" w:hAnsi="仿宋" w:eastAsia="仿宋"/>
          <w:b/>
          <w:sz w:val="32"/>
          <w:szCs w:val="32"/>
        </w:rPr>
        <w:t>年一般公共预算支出决算数为</w:t>
      </w:r>
      <w:r>
        <w:rPr>
          <w:rFonts w:hint="eastAsia" w:ascii="仿宋" w:hAnsi="仿宋" w:eastAsia="仿宋"/>
          <w:b/>
          <w:sz w:val="32"/>
          <w:szCs w:val="32"/>
          <w:lang w:val="en-US" w:eastAsia="zh-CN"/>
        </w:rPr>
        <w:t>9725.52</w:t>
      </w:r>
      <w:r>
        <w:rPr>
          <w:rFonts w:hint="eastAsia" w:ascii="仿宋" w:hAnsi="仿宋" w:eastAsia="仿宋"/>
          <w:sz w:val="32"/>
          <w:szCs w:val="32"/>
        </w:rPr>
        <w:t>，</w:t>
      </w:r>
      <w:r>
        <w:rPr>
          <w:rStyle w:val="15"/>
          <w:rFonts w:hint="eastAsia" w:ascii="仿宋" w:hAnsi="仿宋" w:eastAsia="仿宋"/>
          <w:bCs/>
          <w:sz w:val="32"/>
          <w:szCs w:val="32"/>
        </w:rPr>
        <w:t>完成预算</w:t>
      </w:r>
      <w:r>
        <w:rPr>
          <w:rStyle w:val="15"/>
          <w:rFonts w:hint="eastAsia" w:ascii="仿宋" w:hAnsi="仿宋" w:eastAsia="仿宋"/>
          <w:bCs/>
          <w:sz w:val="32"/>
          <w:szCs w:val="32"/>
          <w:lang w:val="en-US" w:eastAsia="zh-CN"/>
        </w:rPr>
        <w:t>100</w:t>
      </w:r>
      <w:r>
        <w:rPr>
          <w:rStyle w:val="15"/>
          <w:rFonts w:ascii="仿宋" w:hAnsi="仿宋" w:eastAsia="仿宋"/>
          <w:bCs/>
          <w:sz w:val="32"/>
          <w:szCs w:val="32"/>
        </w:rPr>
        <w:t>%</w:t>
      </w:r>
      <w:r>
        <w:rPr>
          <w:rStyle w:val="15"/>
          <w:rFonts w:hint="eastAsia" w:ascii="仿宋" w:hAnsi="仿宋" w:eastAsia="仿宋"/>
          <w:bCs/>
          <w:sz w:val="32"/>
          <w:szCs w:val="32"/>
        </w:rPr>
        <w:t>。其中：</w:t>
      </w:r>
      <w:bookmarkEnd w:id="106"/>
      <w:bookmarkEnd w:id="107"/>
      <w:bookmarkEnd w:id="108"/>
      <w:bookmarkEnd w:id="109"/>
    </w:p>
    <w:p>
      <w:pPr>
        <w:pStyle w:val="12"/>
        <w:shd w:val="clear" w:color="auto" w:fill="FFFFFF"/>
        <w:spacing w:before="93" w:beforeAutospacing="0" w:after="136" w:afterAutospacing="0" w:line="27" w:lineRule="atLeast"/>
        <w:ind w:firstLine="581" w:firstLineChars="181"/>
        <w:rPr>
          <w:rFonts w:ascii="仿宋" w:hAnsi="仿宋" w:eastAsia="仿宋" w:cs="Times New Roman"/>
          <w:b w:val="0"/>
          <w:bCs/>
          <w:sz w:val="32"/>
          <w:szCs w:val="32"/>
        </w:rPr>
      </w:pPr>
      <w:r>
        <w:rPr>
          <w:rStyle w:val="15"/>
          <w:rFonts w:ascii="仿宋" w:hAnsi="仿宋" w:eastAsia="仿宋" w:cstheme="minorBidi"/>
          <w:bCs/>
          <w:kern w:val="2"/>
          <w:sz w:val="32"/>
          <w:szCs w:val="32"/>
          <w:lang w:val="en-US" w:eastAsia="zh-CN" w:bidi="ar-SA"/>
        </w:rPr>
        <w:t>1.</w:t>
      </w:r>
      <w:r>
        <w:rPr>
          <w:rStyle w:val="15"/>
          <w:rFonts w:hint="eastAsia" w:ascii="仿宋" w:hAnsi="仿宋" w:eastAsia="仿宋" w:cstheme="minorBidi"/>
          <w:bCs/>
          <w:kern w:val="2"/>
          <w:sz w:val="32"/>
          <w:szCs w:val="32"/>
          <w:lang w:val="en-US" w:eastAsia="zh-CN" w:bidi="ar-SA"/>
        </w:rPr>
        <w:t>科学技术支出（类）基础研究（款）专项基础科研（项）</w:t>
      </w:r>
      <w:r>
        <w:rPr>
          <w:rStyle w:val="15"/>
          <w:rFonts w:ascii="仿宋" w:hAnsi="仿宋" w:eastAsia="仿宋" w:cstheme="minorBidi"/>
          <w:bCs/>
          <w:kern w:val="2"/>
          <w:sz w:val="32"/>
          <w:szCs w:val="32"/>
          <w:lang w:val="en-US" w:eastAsia="zh-CN" w:bidi="ar-SA"/>
        </w:rPr>
        <w:t>:</w:t>
      </w:r>
      <w:r>
        <w:rPr>
          <w:rFonts w:ascii="微软雅黑" w:hAnsi="微软雅黑" w:eastAsia="仿宋" w:cs="Times New Roman"/>
          <w:b w:val="0"/>
          <w:bCs/>
          <w:sz w:val="32"/>
          <w:szCs w:val="32"/>
          <w:shd w:val="clear" w:color="auto" w:fill="FFFFFF"/>
        </w:rPr>
        <w:t> </w:t>
      </w:r>
      <w:r>
        <w:rPr>
          <w:rFonts w:hint="eastAsia" w:ascii="仿宋" w:hAnsi="仿宋" w:eastAsia="仿宋" w:cs="仿宋_GB2312"/>
          <w:b w:val="0"/>
          <w:bCs/>
          <w:sz w:val="32"/>
          <w:szCs w:val="32"/>
          <w:shd w:val="clear" w:color="auto" w:fill="FFFFFF"/>
        </w:rPr>
        <w:t>支出决算为</w:t>
      </w:r>
      <w:r>
        <w:rPr>
          <w:rFonts w:hint="eastAsia" w:ascii="仿宋" w:hAnsi="仿宋" w:eastAsia="仿宋" w:cs="仿宋_GB2312"/>
          <w:b w:val="0"/>
          <w:bCs/>
          <w:sz w:val="32"/>
          <w:szCs w:val="32"/>
          <w:shd w:val="clear" w:color="auto" w:fill="FFFFFF"/>
          <w:lang w:val="en-US" w:eastAsia="zh-CN"/>
        </w:rPr>
        <w:t>15</w:t>
      </w:r>
      <w:r>
        <w:rPr>
          <w:rFonts w:hint="eastAsia" w:ascii="仿宋" w:hAnsi="仿宋" w:eastAsia="仿宋" w:cs="仿宋_GB2312"/>
          <w:b w:val="0"/>
          <w:bCs/>
          <w:sz w:val="32"/>
          <w:szCs w:val="32"/>
          <w:shd w:val="clear" w:color="auto" w:fill="FFFFFF"/>
        </w:rPr>
        <w:t>万元，完成预算</w:t>
      </w:r>
      <w:r>
        <w:rPr>
          <w:rFonts w:hint="eastAsia" w:ascii="仿宋" w:hAnsi="仿宋" w:eastAsia="仿宋" w:cs="仿宋_GB2312"/>
          <w:b w:val="0"/>
          <w:bCs/>
          <w:sz w:val="32"/>
          <w:szCs w:val="32"/>
          <w:shd w:val="clear" w:color="auto" w:fill="FFFFFF"/>
          <w:lang w:val="en-US" w:eastAsia="zh-CN"/>
        </w:rPr>
        <w:t>100</w:t>
      </w:r>
      <w:r>
        <w:rPr>
          <w:rFonts w:ascii="仿宋" w:hAnsi="仿宋" w:eastAsia="仿宋" w:cs="仿宋_GB2312"/>
          <w:b w:val="0"/>
          <w:bCs/>
          <w:sz w:val="32"/>
          <w:szCs w:val="32"/>
          <w:shd w:val="clear" w:color="auto" w:fill="FFFFFF"/>
        </w:rPr>
        <w:t>%</w:t>
      </w:r>
      <w:r>
        <w:rPr>
          <w:rFonts w:hint="eastAsia" w:ascii="仿宋" w:hAnsi="仿宋" w:eastAsia="仿宋" w:cs="仿宋_GB2312"/>
          <w:b w:val="0"/>
          <w:bCs/>
          <w:sz w:val="32"/>
          <w:szCs w:val="32"/>
          <w:shd w:val="clear" w:color="auto" w:fill="FFFFFF"/>
        </w:rPr>
        <w:t>。</w:t>
      </w:r>
    </w:p>
    <w:p>
      <w:pPr>
        <w:pStyle w:val="12"/>
        <w:shd w:val="clear" w:color="auto" w:fill="FFFFFF"/>
        <w:spacing w:before="93" w:beforeAutospacing="0" w:after="136" w:afterAutospacing="0" w:line="27" w:lineRule="atLeast"/>
        <w:ind w:firstLine="581" w:firstLineChars="181"/>
        <w:rPr>
          <w:rFonts w:hint="eastAsia" w:ascii="仿宋" w:hAnsi="仿宋" w:eastAsia="仿宋" w:cs="仿宋_GB2312"/>
          <w:b w:val="0"/>
          <w:bCs/>
          <w:sz w:val="32"/>
          <w:szCs w:val="32"/>
          <w:shd w:val="clear" w:color="auto" w:fill="FFFFFF"/>
        </w:rPr>
      </w:pPr>
      <w:r>
        <w:rPr>
          <w:rStyle w:val="15"/>
          <w:rFonts w:ascii="仿宋" w:hAnsi="仿宋" w:eastAsia="仿宋" w:cstheme="minorBidi"/>
          <w:bCs/>
          <w:kern w:val="2"/>
          <w:sz w:val="32"/>
          <w:szCs w:val="32"/>
          <w:lang w:val="en-US" w:eastAsia="zh-CN" w:bidi="ar-SA"/>
        </w:rPr>
        <w:t>2.</w:t>
      </w:r>
      <w:r>
        <w:rPr>
          <w:rStyle w:val="15"/>
          <w:rFonts w:hint="eastAsia" w:ascii="仿宋" w:hAnsi="仿宋" w:eastAsia="仿宋" w:cstheme="minorBidi"/>
          <w:bCs/>
          <w:kern w:val="2"/>
          <w:sz w:val="32"/>
          <w:szCs w:val="32"/>
          <w:lang w:val="en-US" w:eastAsia="zh-CN" w:bidi="ar-SA"/>
        </w:rPr>
        <w:t>科学技术支出（类）技术研究与开发（款）其他技术研究与开发支出（项）</w:t>
      </w:r>
      <w:r>
        <w:rPr>
          <w:rStyle w:val="15"/>
          <w:rFonts w:ascii="仿宋" w:hAnsi="仿宋" w:eastAsia="仿宋" w:cstheme="minorBidi"/>
          <w:bCs/>
          <w:kern w:val="2"/>
          <w:sz w:val="32"/>
          <w:szCs w:val="32"/>
          <w:lang w:val="en-US" w:eastAsia="zh-CN" w:bidi="ar-SA"/>
        </w:rPr>
        <w:t>: </w:t>
      </w:r>
      <w:r>
        <w:rPr>
          <w:rFonts w:hint="eastAsia" w:ascii="仿宋" w:hAnsi="仿宋" w:eastAsia="仿宋" w:cs="仿宋_GB2312"/>
          <w:b w:val="0"/>
          <w:bCs/>
          <w:sz w:val="32"/>
          <w:szCs w:val="32"/>
          <w:shd w:val="clear" w:color="auto" w:fill="FFFFFF"/>
        </w:rPr>
        <w:t>支出决算为</w:t>
      </w:r>
      <w:r>
        <w:rPr>
          <w:rFonts w:hint="eastAsia" w:ascii="仿宋" w:hAnsi="仿宋" w:eastAsia="仿宋" w:cs="仿宋_GB2312"/>
          <w:b w:val="0"/>
          <w:bCs/>
          <w:sz w:val="32"/>
          <w:szCs w:val="32"/>
          <w:shd w:val="clear" w:color="auto" w:fill="FFFFFF"/>
          <w:lang w:val="en-US" w:eastAsia="zh-CN"/>
        </w:rPr>
        <w:t>7.85</w:t>
      </w:r>
      <w:r>
        <w:rPr>
          <w:rFonts w:hint="eastAsia" w:ascii="仿宋" w:hAnsi="仿宋" w:eastAsia="仿宋" w:cs="仿宋_GB2312"/>
          <w:b w:val="0"/>
          <w:bCs/>
          <w:sz w:val="32"/>
          <w:szCs w:val="32"/>
          <w:shd w:val="clear" w:color="auto" w:fill="FFFFFF"/>
        </w:rPr>
        <w:t>万元，</w:t>
      </w:r>
      <w:r>
        <w:rPr>
          <w:rFonts w:hint="eastAsia" w:ascii="仿宋" w:hAnsi="仿宋" w:eastAsia="仿宋" w:cs="仿宋_GB2312"/>
          <w:b w:val="0"/>
          <w:bCs/>
          <w:sz w:val="32"/>
          <w:szCs w:val="32"/>
          <w:shd w:val="clear" w:color="auto" w:fill="FFFFFF"/>
          <w:lang w:eastAsia="zh-CN"/>
        </w:rPr>
        <w:t>完成预算</w:t>
      </w:r>
      <w:r>
        <w:rPr>
          <w:rFonts w:hint="eastAsia" w:ascii="仿宋" w:hAnsi="仿宋" w:eastAsia="仿宋" w:cs="仿宋_GB2312"/>
          <w:b w:val="0"/>
          <w:bCs/>
          <w:sz w:val="32"/>
          <w:szCs w:val="32"/>
          <w:shd w:val="clear" w:color="auto" w:fill="FFFFFF"/>
          <w:lang w:val="en-US" w:eastAsia="zh-CN"/>
        </w:rPr>
        <w:t>10</w:t>
      </w:r>
      <w:r>
        <w:rPr>
          <w:rFonts w:hint="eastAsia" w:ascii="仿宋" w:hAnsi="仿宋" w:eastAsia="仿宋" w:cs="仿宋_GB2312"/>
          <w:b w:val="0"/>
          <w:bCs/>
          <w:sz w:val="32"/>
          <w:szCs w:val="32"/>
          <w:shd w:val="clear" w:color="auto" w:fill="FFFFFF"/>
        </w:rPr>
        <w:t>0%。</w:t>
      </w:r>
    </w:p>
    <w:p>
      <w:pPr>
        <w:pStyle w:val="12"/>
        <w:shd w:val="clear" w:color="auto" w:fill="FFFFFF"/>
        <w:spacing w:before="93" w:beforeAutospacing="0" w:after="136" w:afterAutospacing="0" w:line="27" w:lineRule="atLeast"/>
        <w:ind w:firstLine="581" w:firstLineChars="181"/>
        <w:rPr>
          <w:rFonts w:hint="default" w:ascii="仿宋" w:hAnsi="仿宋" w:eastAsia="仿宋" w:cs="仿宋_GB2312"/>
          <w:b w:val="0"/>
          <w:bCs/>
          <w:sz w:val="32"/>
          <w:szCs w:val="32"/>
          <w:shd w:val="clear" w:color="auto" w:fill="FFFFFF"/>
          <w:lang w:val="en-US" w:eastAsia="zh-CN"/>
        </w:rPr>
      </w:pPr>
      <w:r>
        <w:rPr>
          <w:rStyle w:val="15"/>
          <w:rFonts w:hint="eastAsia" w:ascii="仿宋" w:hAnsi="仿宋" w:eastAsia="仿宋" w:cstheme="minorBidi"/>
          <w:bCs/>
          <w:kern w:val="2"/>
          <w:sz w:val="32"/>
          <w:szCs w:val="32"/>
          <w:lang w:val="en-US" w:eastAsia="zh-CN" w:bidi="ar-SA"/>
        </w:rPr>
        <w:t>3.科学技术支出（类）其他科学技术支出（款）其他科学技术支出（项）</w:t>
      </w:r>
      <w:r>
        <w:rPr>
          <w:rStyle w:val="15"/>
          <w:rFonts w:ascii="仿宋" w:hAnsi="仿宋" w:eastAsia="仿宋" w:cstheme="minorBidi"/>
          <w:bCs/>
          <w:kern w:val="2"/>
          <w:sz w:val="32"/>
          <w:szCs w:val="32"/>
          <w:lang w:val="en-US" w:eastAsia="zh-CN" w:bidi="ar-SA"/>
        </w:rPr>
        <w:t>:</w:t>
      </w:r>
      <w:r>
        <w:rPr>
          <w:rFonts w:ascii="微软雅黑" w:hAnsi="微软雅黑" w:eastAsia="仿宋" w:cs="Times New Roman"/>
          <w:b w:val="0"/>
          <w:bCs/>
          <w:sz w:val="32"/>
          <w:szCs w:val="32"/>
          <w:shd w:val="clear" w:color="auto" w:fill="FFFFFF"/>
        </w:rPr>
        <w:t> </w:t>
      </w:r>
      <w:r>
        <w:rPr>
          <w:rFonts w:hint="eastAsia" w:ascii="仿宋" w:hAnsi="仿宋" w:eastAsia="仿宋" w:cs="仿宋_GB2312"/>
          <w:b w:val="0"/>
          <w:bCs/>
          <w:sz w:val="32"/>
          <w:szCs w:val="32"/>
          <w:shd w:val="clear" w:color="auto" w:fill="FFFFFF"/>
        </w:rPr>
        <w:t>支出决算为</w:t>
      </w:r>
      <w:r>
        <w:rPr>
          <w:rFonts w:hint="eastAsia" w:ascii="仿宋" w:hAnsi="仿宋" w:eastAsia="仿宋" w:cs="仿宋_GB2312"/>
          <w:b w:val="0"/>
          <w:bCs/>
          <w:sz w:val="32"/>
          <w:szCs w:val="32"/>
          <w:shd w:val="clear" w:color="auto" w:fill="FFFFFF"/>
          <w:lang w:val="en-US" w:eastAsia="zh-CN"/>
        </w:rPr>
        <w:t>4.1</w:t>
      </w:r>
      <w:r>
        <w:rPr>
          <w:rFonts w:hint="eastAsia" w:ascii="仿宋" w:hAnsi="仿宋" w:eastAsia="仿宋" w:cs="仿宋_GB2312"/>
          <w:b w:val="0"/>
          <w:bCs/>
          <w:sz w:val="32"/>
          <w:szCs w:val="32"/>
          <w:shd w:val="clear" w:color="auto" w:fill="FFFFFF"/>
        </w:rPr>
        <w:t>万元，</w:t>
      </w:r>
      <w:r>
        <w:rPr>
          <w:rFonts w:hint="eastAsia" w:ascii="仿宋" w:hAnsi="仿宋" w:eastAsia="仿宋" w:cs="仿宋_GB2312"/>
          <w:b w:val="0"/>
          <w:bCs/>
          <w:sz w:val="32"/>
          <w:szCs w:val="32"/>
          <w:shd w:val="clear" w:color="auto" w:fill="FFFFFF"/>
          <w:lang w:eastAsia="zh-CN"/>
        </w:rPr>
        <w:t>完成预算</w:t>
      </w:r>
      <w:r>
        <w:rPr>
          <w:rFonts w:hint="eastAsia" w:ascii="仿宋" w:hAnsi="仿宋" w:eastAsia="仿宋" w:cs="仿宋_GB2312"/>
          <w:b w:val="0"/>
          <w:bCs/>
          <w:sz w:val="32"/>
          <w:szCs w:val="32"/>
          <w:shd w:val="clear" w:color="auto" w:fill="FFFFFF"/>
          <w:lang w:val="en-US" w:eastAsia="zh-CN"/>
        </w:rPr>
        <w:t>10</w:t>
      </w:r>
      <w:r>
        <w:rPr>
          <w:rFonts w:hint="eastAsia" w:ascii="仿宋" w:hAnsi="仿宋" w:eastAsia="仿宋" w:cs="仿宋_GB2312"/>
          <w:b w:val="0"/>
          <w:bCs/>
          <w:sz w:val="32"/>
          <w:szCs w:val="32"/>
          <w:shd w:val="clear" w:color="auto" w:fill="FFFFFF"/>
        </w:rPr>
        <w:t>0%。</w:t>
      </w:r>
    </w:p>
    <w:p>
      <w:pPr>
        <w:pStyle w:val="12"/>
        <w:shd w:val="clear" w:color="auto" w:fill="FFFFFF"/>
        <w:spacing w:before="93" w:beforeAutospacing="0" w:after="136" w:afterAutospacing="0" w:line="27" w:lineRule="atLeast"/>
        <w:ind w:firstLine="581" w:firstLineChars="181"/>
        <w:rPr>
          <w:rStyle w:val="15"/>
          <w:rFonts w:hint="eastAsia" w:ascii="仿宋" w:hAnsi="仿宋" w:eastAsia="仿宋" w:cs="仿宋_GB2312"/>
          <w:b w:val="0"/>
          <w:bCs/>
          <w:sz w:val="32"/>
          <w:szCs w:val="32"/>
          <w:shd w:val="clear" w:color="auto" w:fill="FFFFFF"/>
          <w:lang w:eastAsia="zh-CN"/>
        </w:rPr>
      </w:pPr>
      <w:r>
        <w:rPr>
          <w:rStyle w:val="15"/>
          <w:rFonts w:hint="eastAsia" w:ascii="仿宋" w:hAnsi="仿宋" w:eastAsia="仿宋" w:cstheme="minorBidi"/>
          <w:bCs/>
          <w:kern w:val="2"/>
          <w:sz w:val="32"/>
          <w:szCs w:val="32"/>
          <w:lang w:val="en-US" w:eastAsia="zh-CN" w:bidi="ar-SA"/>
        </w:rPr>
        <w:t>4.社会保障和就业（类）行政事业单位养老支出（款）事业单位离退休（项）:</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1901.37</w:t>
      </w:r>
      <w:r>
        <w:rPr>
          <w:rStyle w:val="15"/>
          <w:rFonts w:hint="eastAsia" w:ascii="仿宋" w:hAnsi="仿宋" w:eastAsia="仿宋"/>
          <w:b w:val="0"/>
          <w:bCs/>
          <w:color w:val="000000"/>
          <w:sz w:val="32"/>
          <w:szCs w:val="32"/>
        </w:rPr>
        <w:t>万元，完成预</w:t>
      </w:r>
      <w:r>
        <w:rPr>
          <w:rStyle w:val="15"/>
          <w:rFonts w:hint="eastAsia" w:ascii="仿宋" w:hAnsi="仿宋" w:eastAsia="仿宋" w:cs="仿宋_GB2312"/>
          <w:b w:val="0"/>
          <w:bCs/>
          <w:sz w:val="32"/>
          <w:szCs w:val="32"/>
          <w:shd w:val="clear" w:color="auto" w:fill="FFFFFF"/>
          <w:lang w:eastAsia="zh-CN"/>
        </w:rPr>
        <w:t>算100%。</w:t>
      </w:r>
    </w:p>
    <w:p>
      <w:pPr>
        <w:pStyle w:val="12"/>
        <w:shd w:val="clear" w:color="auto" w:fill="FFFFFF"/>
        <w:spacing w:before="93" w:beforeAutospacing="0" w:after="136" w:afterAutospacing="0" w:line="27" w:lineRule="atLeast"/>
        <w:ind w:firstLine="581" w:firstLineChars="181"/>
        <w:rPr>
          <w:rStyle w:val="15"/>
          <w:rFonts w:hint="eastAsia" w:ascii="仿宋" w:hAnsi="仿宋" w:eastAsia="仿宋" w:cs="仿宋_GB2312"/>
          <w:b w:val="0"/>
          <w:bCs/>
          <w:sz w:val="32"/>
          <w:szCs w:val="32"/>
          <w:shd w:val="clear" w:color="auto" w:fill="FFFFFF"/>
          <w:lang w:eastAsia="zh-CN"/>
        </w:rPr>
      </w:pPr>
      <w:r>
        <w:rPr>
          <w:rStyle w:val="15"/>
          <w:rFonts w:hint="eastAsia" w:ascii="仿宋" w:hAnsi="仿宋" w:eastAsia="仿宋" w:cstheme="minorBidi"/>
          <w:bCs/>
          <w:kern w:val="2"/>
          <w:sz w:val="32"/>
          <w:szCs w:val="32"/>
          <w:lang w:val="en-US" w:eastAsia="zh-CN" w:bidi="ar-SA"/>
        </w:rPr>
        <w:t xml:space="preserve">5.社会保障和就业（类）行政事业单位养老支出（款）机关事业单位基本养老保险缴费支出（项）: </w:t>
      </w:r>
      <w:r>
        <w:rPr>
          <w:rStyle w:val="15"/>
          <w:rFonts w:hint="eastAsia" w:ascii="仿宋" w:hAnsi="仿宋" w:eastAsia="仿宋" w:cs="仿宋_GB2312"/>
          <w:b w:val="0"/>
          <w:bCs/>
          <w:sz w:val="32"/>
          <w:szCs w:val="32"/>
          <w:shd w:val="clear" w:color="auto" w:fill="FFFFFF"/>
          <w:lang w:eastAsia="zh-CN"/>
        </w:rPr>
        <w:t>支出决算为</w:t>
      </w:r>
      <w:r>
        <w:rPr>
          <w:rStyle w:val="15"/>
          <w:rFonts w:hint="eastAsia" w:ascii="仿宋" w:hAnsi="仿宋" w:eastAsia="仿宋" w:cs="仿宋_GB2312"/>
          <w:b w:val="0"/>
          <w:bCs/>
          <w:sz w:val="32"/>
          <w:szCs w:val="32"/>
          <w:shd w:val="clear" w:color="auto" w:fill="FFFFFF"/>
          <w:lang w:val="en-US" w:eastAsia="zh-CN"/>
        </w:rPr>
        <w:t>426.62</w:t>
      </w:r>
      <w:r>
        <w:rPr>
          <w:rStyle w:val="15"/>
          <w:rFonts w:hint="eastAsia" w:ascii="仿宋" w:hAnsi="仿宋" w:eastAsia="仿宋" w:cs="仿宋_GB2312"/>
          <w:b w:val="0"/>
          <w:bCs/>
          <w:sz w:val="32"/>
          <w:szCs w:val="32"/>
          <w:shd w:val="clear" w:color="auto" w:fill="FFFFFF"/>
          <w:lang w:eastAsia="zh-CN"/>
        </w:rPr>
        <w:t>万元，完成预算100%。</w:t>
      </w:r>
    </w:p>
    <w:p>
      <w:pPr>
        <w:pStyle w:val="12"/>
        <w:shd w:val="clear" w:color="auto" w:fill="FFFFFF"/>
        <w:spacing w:before="93" w:beforeAutospacing="0" w:after="136" w:afterAutospacing="0" w:line="27" w:lineRule="atLeast"/>
        <w:ind w:firstLine="581" w:firstLineChars="181"/>
        <w:rPr>
          <w:rStyle w:val="15"/>
          <w:rFonts w:hint="eastAsia" w:ascii="仿宋" w:hAnsi="仿宋" w:eastAsia="仿宋" w:cs="仿宋_GB2312"/>
          <w:b w:val="0"/>
          <w:bCs/>
          <w:sz w:val="32"/>
          <w:szCs w:val="32"/>
          <w:shd w:val="clear" w:color="auto" w:fill="FFFFFF"/>
          <w:lang w:eastAsia="zh-CN"/>
        </w:rPr>
      </w:pPr>
      <w:r>
        <w:rPr>
          <w:rStyle w:val="15"/>
          <w:rFonts w:hint="eastAsia" w:ascii="仿宋" w:hAnsi="仿宋" w:eastAsia="仿宋" w:cstheme="minorBidi"/>
          <w:bCs/>
          <w:kern w:val="2"/>
          <w:sz w:val="32"/>
          <w:szCs w:val="32"/>
          <w:lang w:val="en-US" w:eastAsia="zh-CN" w:bidi="ar-SA"/>
        </w:rPr>
        <w:t>6.社会保障和就业（类）行政事业单位养老支出（款）机关事业单位职业年金缴费支出（项）:</w:t>
      </w:r>
      <w:r>
        <w:rPr>
          <w:rStyle w:val="15"/>
          <w:rFonts w:hint="eastAsia" w:ascii="仿宋" w:hAnsi="仿宋" w:eastAsia="仿宋" w:cs="仿宋_GB2312"/>
          <w:b w:val="0"/>
          <w:bCs/>
          <w:sz w:val="32"/>
          <w:szCs w:val="32"/>
          <w:shd w:val="clear" w:color="auto" w:fill="FFFFFF"/>
          <w:lang w:eastAsia="zh-CN"/>
        </w:rPr>
        <w:t xml:space="preserve"> 支出决算为</w:t>
      </w:r>
      <w:r>
        <w:rPr>
          <w:rStyle w:val="15"/>
          <w:rFonts w:hint="eastAsia" w:ascii="仿宋" w:hAnsi="仿宋" w:eastAsia="仿宋" w:cs="仿宋_GB2312"/>
          <w:b w:val="0"/>
          <w:bCs/>
          <w:sz w:val="32"/>
          <w:szCs w:val="32"/>
          <w:shd w:val="clear" w:color="auto" w:fill="FFFFFF"/>
          <w:lang w:val="en-US" w:eastAsia="zh-CN"/>
        </w:rPr>
        <w:t>241.68</w:t>
      </w:r>
      <w:r>
        <w:rPr>
          <w:rStyle w:val="15"/>
          <w:rFonts w:hint="eastAsia" w:ascii="仿宋" w:hAnsi="仿宋" w:eastAsia="仿宋" w:cs="仿宋_GB2312"/>
          <w:b w:val="0"/>
          <w:bCs/>
          <w:sz w:val="32"/>
          <w:szCs w:val="32"/>
          <w:shd w:val="clear" w:color="auto" w:fill="FFFFFF"/>
          <w:lang w:eastAsia="zh-CN"/>
        </w:rPr>
        <w:t>万元，完成预算100%。</w:t>
      </w:r>
    </w:p>
    <w:p>
      <w:pPr>
        <w:pStyle w:val="12"/>
        <w:shd w:val="clear" w:color="auto" w:fill="FFFFFF"/>
        <w:spacing w:before="93" w:beforeAutospacing="0" w:after="136" w:afterAutospacing="0" w:line="27" w:lineRule="atLeast"/>
        <w:ind w:firstLine="581" w:firstLineChars="181"/>
        <w:rPr>
          <w:rStyle w:val="15"/>
          <w:rFonts w:hint="eastAsia" w:ascii="仿宋" w:hAnsi="仿宋" w:eastAsia="仿宋" w:cstheme="minorBidi"/>
          <w:bCs/>
          <w:kern w:val="2"/>
          <w:sz w:val="32"/>
          <w:szCs w:val="32"/>
          <w:lang w:val="en-US" w:eastAsia="zh-CN" w:bidi="ar-SA"/>
        </w:rPr>
      </w:pPr>
      <w:r>
        <w:rPr>
          <w:rStyle w:val="15"/>
          <w:rFonts w:hint="eastAsia" w:ascii="仿宋" w:hAnsi="仿宋" w:eastAsia="仿宋" w:cstheme="minorBidi"/>
          <w:bCs/>
          <w:kern w:val="2"/>
          <w:sz w:val="32"/>
          <w:szCs w:val="32"/>
          <w:lang w:val="en-US" w:eastAsia="zh-CN" w:bidi="ar-SA"/>
        </w:rPr>
        <w:t xml:space="preserve">7.社会保障和就业（类）其他社会保障和就业支出（款）其他社会保障和就业支出（项）: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1.01</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color w:val="000000"/>
          <w:sz w:val="32"/>
          <w:szCs w:val="32"/>
        </w:rPr>
        <w:t>%</w:t>
      </w:r>
    </w:p>
    <w:p>
      <w:pPr>
        <w:pStyle w:val="12"/>
        <w:shd w:val="clear" w:color="auto" w:fill="FFFFFF"/>
        <w:spacing w:before="93" w:beforeAutospacing="0" w:after="136" w:afterAutospacing="0" w:line="27" w:lineRule="atLeast"/>
        <w:ind w:firstLine="581" w:firstLineChars="181"/>
        <w:rPr>
          <w:rStyle w:val="15"/>
          <w:rFonts w:ascii="仿宋" w:hAnsi="仿宋" w:eastAsia="仿宋"/>
          <w:b w:val="0"/>
          <w:bCs/>
          <w:color w:val="000000"/>
          <w:sz w:val="32"/>
          <w:szCs w:val="32"/>
        </w:rPr>
      </w:pPr>
      <w:r>
        <w:rPr>
          <w:rStyle w:val="15"/>
          <w:rFonts w:hint="eastAsia" w:ascii="仿宋" w:hAnsi="仿宋" w:eastAsia="仿宋" w:cstheme="minorBidi"/>
          <w:bCs/>
          <w:kern w:val="2"/>
          <w:sz w:val="32"/>
          <w:szCs w:val="32"/>
          <w:lang w:val="en-US" w:eastAsia="zh-CN" w:bidi="ar-SA"/>
        </w:rPr>
        <w:t xml:space="preserve">8.卫生健康支出（类）公立医院（款）综合医院（项）: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3222.20</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hint="eastAsia" w:ascii="仿宋" w:hAnsi="仿宋" w:eastAsia="仿宋"/>
          <w:b w:val="0"/>
          <w:bCs/>
          <w:color w:val="000000"/>
          <w:sz w:val="32"/>
          <w:szCs w:val="32"/>
        </w:rPr>
        <w:t>%。</w:t>
      </w:r>
    </w:p>
    <w:p>
      <w:pPr>
        <w:pStyle w:val="12"/>
        <w:shd w:val="clear" w:color="auto" w:fill="FFFFFF"/>
        <w:spacing w:before="93" w:beforeAutospacing="0" w:after="136" w:afterAutospacing="0" w:line="27" w:lineRule="atLeast"/>
        <w:ind w:firstLine="581" w:firstLineChars="181"/>
        <w:rPr>
          <w:rStyle w:val="15"/>
          <w:rFonts w:hint="eastAsia" w:ascii="仿宋" w:hAnsi="仿宋" w:eastAsia="仿宋" w:cs="仿宋_GB2312"/>
          <w:b w:val="0"/>
          <w:bCs/>
          <w:sz w:val="32"/>
          <w:szCs w:val="32"/>
          <w:shd w:val="clear" w:color="auto" w:fill="FFFFFF"/>
          <w:lang w:eastAsia="zh-CN"/>
        </w:rPr>
      </w:pPr>
      <w:r>
        <w:rPr>
          <w:rStyle w:val="15"/>
          <w:rFonts w:hint="eastAsia" w:ascii="仿宋" w:hAnsi="仿宋" w:eastAsia="仿宋" w:cstheme="minorBidi"/>
          <w:bCs/>
          <w:kern w:val="2"/>
          <w:sz w:val="32"/>
          <w:szCs w:val="32"/>
          <w:lang w:val="en-US" w:eastAsia="zh-CN" w:bidi="ar-SA"/>
        </w:rPr>
        <w:t xml:space="preserve">9.卫生健康支出（类）公立医院（款）其他公立医院支出（项）: </w:t>
      </w:r>
      <w:r>
        <w:rPr>
          <w:rStyle w:val="15"/>
          <w:rFonts w:hint="eastAsia" w:ascii="仿宋" w:hAnsi="仿宋" w:eastAsia="仿宋" w:cs="仿宋_GB2312"/>
          <w:b w:val="0"/>
          <w:bCs/>
          <w:sz w:val="32"/>
          <w:szCs w:val="32"/>
          <w:shd w:val="clear" w:color="auto" w:fill="FFFFFF"/>
          <w:lang w:eastAsia="zh-CN"/>
        </w:rPr>
        <w:t>支出决算为</w:t>
      </w:r>
      <w:r>
        <w:rPr>
          <w:rStyle w:val="15"/>
          <w:rFonts w:hint="eastAsia" w:ascii="仿宋" w:hAnsi="仿宋" w:eastAsia="仿宋" w:cs="仿宋_GB2312"/>
          <w:b w:val="0"/>
          <w:bCs/>
          <w:sz w:val="32"/>
          <w:szCs w:val="32"/>
          <w:shd w:val="clear" w:color="auto" w:fill="FFFFFF"/>
          <w:lang w:val="en-US" w:eastAsia="zh-CN"/>
        </w:rPr>
        <w:t>1086.82</w:t>
      </w:r>
      <w:r>
        <w:rPr>
          <w:rStyle w:val="15"/>
          <w:rFonts w:hint="eastAsia" w:ascii="仿宋" w:hAnsi="仿宋" w:eastAsia="仿宋" w:cs="仿宋_GB2312"/>
          <w:b w:val="0"/>
          <w:bCs/>
          <w:sz w:val="32"/>
          <w:szCs w:val="32"/>
          <w:shd w:val="clear" w:color="auto" w:fill="FFFFFF"/>
          <w:lang w:eastAsia="zh-CN"/>
        </w:rPr>
        <w:t>万元，完成预算</w:t>
      </w:r>
      <w:r>
        <w:rPr>
          <w:rStyle w:val="15"/>
          <w:rFonts w:hint="eastAsia" w:ascii="仿宋" w:hAnsi="仿宋" w:eastAsia="仿宋" w:cs="仿宋_GB2312"/>
          <w:b w:val="0"/>
          <w:bCs/>
          <w:sz w:val="32"/>
          <w:szCs w:val="32"/>
          <w:shd w:val="clear" w:color="auto" w:fill="FFFFFF"/>
          <w:lang w:val="en-US" w:eastAsia="zh-CN"/>
        </w:rPr>
        <w:t>100</w:t>
      </w:r>
      <w:r>
        <w:rPr>
          <w:rStyle w:val="15"/>
          <w:rFonts w:hint="eastAsia" w:ascii="仿宋" w:hAnsi="仿宋" w:eastAsia="仿宋" w:cs="仿宋_GB2312"/>
          <w:b w:val="0"/>
          <w:bCs/>
          <w:sz w:val="32"/>
          <w:szCs w:val="32"/>
          <w:shd w:val="clear" w:color="auto" w:fill="FFFFFF"/>
          <w:lang w:eastAsia="zh-CN"/>
        </w:rPr>
        <w:t>%。</w:t>
      </w:r>
    </w:p>
    <w:p>
      <w:pPr>
        <w:pStyle w:val="12"/>
        <w:shd w:val="clear" w:color="auto" w:fill="FFFFFF"/>
        <w:spacing w:before="93" w:beforeAutospacing="0" w:after="136" w:afterAutospacing="0" w:line="27" w:lineRule="atLeast"/>
        <w:ind w:firstLine="581" w:firstLineChars="181"/>
        <w:rPr>
          <w:rStyle w:val="15"/>
          <w:rFonts w:hint="eastAsia" w:ascii="仿宋" w:hAnsi="仿宋" w:eastAsia="仿宋" w:cs="仿宋_GB2312"/>
          <w:b w:val="0"/>
          <w:bCs/>
          <w:sz w:val="32"/>
          <w:szCs w:val="32"/>
          <w:shd w:val="clear" w:color="auto" w:fill="FFFFFF"/>
          <w:lang w:eastAsia="zh-CN"/>
        </w:rPr>
      </w:pPr>
      <w:r>
        <w:rPr>
          <w:rStyle w:val="15"/>
          <w:rFonts w:hint="eastAsia" w:ascii="仿宋" w:hAnsi="仿宋" w:eastAsia="仿宋" w:cstheme="minorBidi"/>
          <w:bCs/>
          <w:kern w:val="2"/>
          <w:sz w:val="32"/>
          <w:szCs w:val="32"/>
          <w:lang w:val="en-US" w:eastAsia="zh-CN" w:bidi="ar-SA"/>
        </w:rPr>
        <w:t xml:space="preserve">10.卫生健康支出（类）公共卫生（款）基本公共卫生服务（项）: </w:t>
      </w:r>
      <w:r>
        <w:rPr>
          <w:rStyle w:val="15"/>
          <w:rFonts w:hint="eastAsia" w:ascii="仿宋" w:hAnsi="仿宋" w:eastAsia="仿宋" w:cs="仿宋_GB2312"/>
          <w:b w:val="0"/>
          <w:bCs/>
          <w:sz w:val="32"/>
          <w:szCs w:val="32"/>
          <w:shd w:val="clear" w:color="auto" w:fill="FFFFFF"/>
          <w:lang w:eastAsia="zh-CN"/>
        </w:rPr>
        <w:t>支出决算为</w:t>
      </w:r>
      <w:r>
        <w:rPr>
          <w:rStyle w:val="15"/>
          <w:rFonts w:hint="eastAsia" w:ascii="仿宋" w:hAnsi="仿宋" w:eastAsia="仿宋" w:cs="仿宋_GB2312"/>
          <w:b w:val="0"/>
          <w:bCs/>
          <w:sz w:val="32"/>
          <w:szCs w:val="32"/>
          <w:shd w:val="clear" w:color="auto" w:fill="FFFFFF"/>
          <w:lang w:val="en-US" w:eastAsia="zh-CN"/>
        </w:rPr>
        <w:t>8</w:t>
      </w:r>
      <w:r>
        <w:rPr>
          <w:rStyle w:val="15"/>
          <w:rFonts w:hint="eastAsia" w:ascii="仿宋" w:hAnsi="仿宋" w:eastAsia="仿宋" w:cs="仿宋_GB2312"/>
          <w:b w:val="0"/>
          <w:bCs/>
          <w:sz w:val="32"/>
          <w:szCs w:val="32"/>
          <w:shd w:val="clear" w:color="auto" w:fill="FFFFFF"/>
          <w:lang w:eastAsia="zh-CN"/>
        </w:rPr>
        <w:t>万元，完成预算</w:t>
      </w:r>
      <w:r>
        <w:rPr>
          <w:rStyle w:val="15"/>
          <w:rFonts w:hint="eastAsia" w:ascii="仿宋" w:hAnsi="仿宋" w:eastAsia="仿宋" w:cs="仿宋_GB2312"/>
          <w:b w:val="0"/>
          <w:bCs/>
          <w:sz w:val="32"/>
          <w:szCs w:val="32"/>
          <w:shd w:val="clear" w:color="auto" w:fill="FFFFFF"/>
          <w:lang w:val="en-US" w:eastAsia="zh-CN"/>
        </w:rPr>
        <w:t>100</w:t>
      </w:r>
      <w:r>
        <w:rPr>
          <w:rStyle w:val="15"/>
          <w:rFonts w:hint="eastAsia" w:ascii="仿宋" w:hAnsi="仿宋" w:eastAsia="仿宋" w:cs="仿宋_GB2312"/>
          <w:b w:val="0"/>
          <w:bCs/>
          <w:sz w:val="32"/>
          <w:szCs w:val="32"/>
          <w:shd w:val="clear" w:color="auto" w:fill="FFFFFF"/>
          <w:lang w:eastAsia="zh-CN"/>
        </w:rPr>
        <w:t>%。</w:t>
      </w:r>
    </w:p>
    <w:p>
      <w:pPr>
        <w:pStyle w:val="12"/>
        <w:shd w:val="clear" w:color="auto" w:fill="FFFFFF"/>
        <w:spacing w:before="93" w:beforeAutospacing="0" w:after="136" w:afterAutospacing="0" w:line="27" w:lineRule="atLeast"/>
        <w:ind w:firstLine="581" w:firstLineChars="181"/>
        <w:rPr>
          <w:rStyle w:val="15"/>
          <w:rFonts w:hint="eastAsia" w:ascii="仿宋" w:hAnsi="仿宋" w:eastAsia="仿宋" w:cs="仿宋_GB2312"/>
          <w:b w:val="0"/>
          <w:bCs/>
          <w:sz w:val="32"/>
          <w:szCs w:val="32"/>
          <w:shd w:val="clear" w:color="auto" w:fill="FFFFFF"/>
          <w:lang w:eastAsia="zh-CN"/>
        </w:rPr>
      </w:pPr>
      <w:r>
        <w:rPr>
          <w:rStyle w:val="15"/>
          <w:rFonts w:hint="eastAsia" w:ascii="仿宋" w:hAnsi="仿宋" w:eastAsia="仿宋" w:cstheme="minorBidi"/>
          <w:bCs/>
          <w:kern w:val="2"/>
          <w:sz w:val="32"/>
          <w:szCs w:val="32"/>
          <w:lang w:val="en-US" w:eastAsia="zh-CN" w:bidi="ar-SA"/>
        </w:rPr>
        <w:t xml:space="preserve">11.卫生健康支出（类）公共卫生（款）重大公共卫生服务（项）: </w:t>
      </w:r>
      <w:r>
        <w:rPr>
          <w:rStyle w:val="15"/>
          <w:rFonts w:hint="eastAsia" w:ascii="仿宋" w:hAnsi="仿宋" w:eastAsia="仿宋" w:cs="仿宋_GB2312"/>
          <w:b w:val="0"/>
          <w:bCs/>
          <w:sz w:val="32"/>
          <w:szCs w:val="32"/>
          <w:shd w:val="clear" w:color="auto" w:fill="FFFFFF"/>
          <w:lang w:eastAsia="zh-CN"/>
        </w:rPr>
        <w:t>支出决算为</w:t>
      </w:r>
      <w:r>
        <w:rPr>
          <w:rStyle w:val="15"/>
          <w:rFonts w:hint="eastAsia" w:ascii="仿宋" w:hAnsi="仿宋" w:eastAsia="仿宋" w:cs="仿宋_GB2312"/>
          <w:b w:val="0"/>
          <w:bCs/>
          <w:sz w:val="32"/>
          <w:szCs w:val="32"/>
          <w:shd w:val="clear" w:color="auto" w:fill="FFFFFF"/>
          <w:lang w:val="en-US" w:eastAsia="zh-CN"/>
        </w:rPr>
        <w:t>371.37</w:t>
      </w:r>
      <w:r>
        <w:rPr>
          <w:rStyle w:val="15"/>
          <w:rFonts w:hint="eastAsia" w:ascii="仿宋" w:hAnsi="仿宋" w:eastAsia="仿宋" w:cs="仿宋_GB2312"/>
          <w:b w:val="0"/>
          <w:bCs/>
          <w:sz w:val="32"/>
          <w:szCs w:val="32"/>
          <w:shd w:val="clear" w:color="auto" w:fill="FFFFFF"/>
          <w:lang w:eastAsia="zh-CN"/>
        </w:rPr>
        <w:t>万元，完成预算</w:t>
      </w:r>
      <w:r>
        <w:rPr>
          <w:rStyle w:val="15"/>
          <w:rFonts w:hint="eastAsia" w:ascii="仿宋" w:hAnsi="仿宋" w:eastAsia="仿宋" w:cs="仿宋_GB2312"/>
          <w:b w:val="0"/>
          <w:bCs/>
          <w:sz w:val="32"/>
          <w:szCs w:val="32"/>
          <w:shd w:val="clear" w:color="auto" w:fill="FFFFFF"/>
          <w:lang w:val="en-US" w:eastAsia="zh-CN"/>
        </w:rPr>
        <w:t>100</w:t>
      </w:r>
      <w:r>
        <w:rPr>
          <w:rStyle w:val="15"/>
          <w:rFonts w:hint="eastAsia" w:ascii="仿宋" w:hAnsi="仿宋" w:eastAsia="仿宋" w:cs="仿宋_GB2312"/>
          <w:b w:val="0"/>
          <w:bCs/>
          <w:sz w:val="32"/>
          <w:szCs w:val="32"/>
          <w:shd w:val="clear" w:color="auto" w:fill="FFFFFF"/>
          <w:lang w:eastAsia="zh-CN"/>
        </w:rPr>
        <w:t xml:space="preserve">%。 </w:t>
      </w:r>
    </w:p>
    <w:p>
      <w:pPr>
        <w:pStyle w:val="12"/>
        <w:shd w:val="clear" w:color="auto" w:fill="FFFFFF"/>
        <w:spacing w:before="93" w:beforeAutospacing="0" w:after="136" w:afterAutospacing="0" w:line="27" w:lineRule="atLeast"/>
        <w:ind w:firstLine="581" w:firstLineChars="181"/>
        <w:rPr>
          <w:rStyle w:val="15"/>
          <w:rFonts w:hint="eastAsia" w:ascii="仿宋" w:hAnsi="仿宋" w:eastAsia="仿宋" w:cs="仿宋_GB2312"/>
          <w:b w:val="0"/>
          <w:bCs/>
          <w:sz w:val="32"/>
          <w:szCs w:val="32"/>
          <w:shd w:val="clear" w:color="auto" w:fill="FFFFFF"/>
          <w:lang w:eastAsia="zh-CN"/>
        </w:rPr>
      </w:pPr>
      <w:r>
        <w:rPr>
          <w:rStyle w:val="15"/>
          <w:rFonts w:hint="eastAsia" w:ascii="仿宋" w:hAnsi="仿宋" w:eastAsia="仿宋" w:cstheme="minorBidi"/>
          <w:bCs/>
          <w:kern w:val="2"/>
          <w:sz w:val="32"/>
          <w:szCs w:val="32"/>
          <w:lang w:val="en-US" w:eastAsia="zh-CN" w:bidi="ar-SA"/>
        </w:rPr>
        <w:t xml:space="preserve">12.卫生健康支出（类）公共卫生（款）突发公共卫生事件应急处理（项）: </w:t>
      </w:r>
      <w:r>
        <w:rPr>
          <w:rStyle w:val="15"/>
          <w:rFonts w:hint="eastAsia" w:ascii="仿宋" w:hAnsi="仿宋" w:eastAsia="仿宋" w:cs="仿宋_GB2312"/>
          <w:b w:val="0"/>
          <w:bCs/>
          <w:sz w:val="32"/>
          <w:szCs w:val="32"/>
          <w:shd w:val="clear" w:color="auto" w:fill="FFFFFF"/>
          <w:lang w:eastAsia="zh-CN"/>
        </w:rPr>
        <w:t>支出决算为</w:t>
      </w:r>
      <w:r>
        <w:rPr>
          <w:rStyle w:val="15"/>
          <w:rFonts w:hint="eastAsia" w:ascii="仿宋" w:hAnsi="仿宋" w:eastAsia="仿宋" w:cs="仿宋_GB2312"/>
          <w:b w:val="0"/>
          <w:bCs/>
          <w:sz w:val="32"/>
          <w:szCs w:val="32"/>
          <w:shd w:val="clear" w:color="auto" w:fill="FFFFFF"/>
          <w:lang w:val="en-US" w:eastAsia="zh-CN"/>
        </w:rPr>
        <w:t>2.7</w:t>
      </w:r>
      <w:r>
        <w:rPr>
          <w:rStyle w:val="15"/>
          <w:rFonts w:hint="eastAsia" w:ascii="仿宋" w:hAnsi="仿宋" w:eastAsia="仿宋" w:cs="仿宋_GB2312"/>
          <w:b w:val="0"/>
          <w:bCs/>
          <w:sz w:val="32"/>
          <w:szCs w:val="32"/>
          <w:shd w:val="clear" w:color="auto" w:fill="FFFFFF"/>
          <w:lang w:eastAsia="zh-CN"/>
        </w:rPr>
        <w:t>万元，完成预算的100%。</w:t>
      </w:r>
    </w:p>
    <w:p>
      <w:pPr>
        <w:pStyle w:val="12"/>
        <w:shd w:val="clear" w:color="auto" w:fill="FFFFFF"/>
        <w:spacing w:before="93" w:beforeAutospacing="0" w:after="136" w:afterAutospacing="0" w:line="27" w:lineRule="atLeast"/>
        <w:ind w:firstLine="581" w:firstLineChars="181"/>
        <w:rPr>
          <w:rStyle w:val="15"/>
          <w:rFonts w:hint="eastAsia" w:ascii="仿宋" w:hAnsi="仿宋" w:eastAsia="仿宋" w:cstheme="minorBidi"/>
          <w:bCs/>
          <w:kern w:val="2"/>
          <w:sz w:val="32"/>
          <w:szCs w:val="32"/>
          <w:lang w:val="en-US" w:eastAsia="zh-CN" w:bidi="ar-SA"/>
        </w:rPr>
      </w:pPr>
      <w:r>
        <w:rPr>
          <w:rStyle w:val="15"/>
          <w:rFonts w:hint="eastAsia" w:ascii="仿宋" w:hAnsi="仿宋" w:eastAsia="仿宋" w:cstheme="minorBidi"/>
          <w:bCs/>
          <w:kern w:val="2"/>
          <w:sz w:val="32"/>
          <w:szCs w:val="32"/>
          <w:lang w:val="en-US" w:eastAsia="zh-CN" w:bidi="ar-SA"/>
        </w:rPr>
        <w:t xml:space="preserve">13.卫生健康支出（类）公共卫生（款）其他公共卫生支出（项）: </w:t>
      </w:r>
      <w:r>
        <w:rPr>
          <w:rStyle w:val="15"/>
          <w:rFonts w:hint="eastAsia" w:ascii="仿宋" w:hAnsi="仿宋" w:eastAsia="仿宋" w:cs="仿宋_GB2312"/>
          <w:b w:val="0"/>
          <w:bCs/>
          <w:sz w:val="32"/>
          <w:szCs w:val="32"/>
          <w:shd w:val="clear" w:color="auto" w:fill="FFFFFF"/>
          <w:lang w:eastAsia="zh-CN"/>
        </w:rPr>
        <w:t>支出决算为</w:t>
      </w:r>
      <w:r>
        <w:rPr>
          <w:rStyle w:val="15"/>
          <w:rFonts w:hint="eastAsia" w:ascii="仿宋" w:hAnsi="仿宋" w:eastAsia="仿宋" w:cs="仿宋_GB2312"/>
          <w:b w:val="0"/>
          <w:bCs/>
          <w:sz w:val="32"/>
          <w:szCs w:val="32"/>
          <w:shd w:val="clear" w:color="auto" w:fill="FFFFFF"/>
          <w:lang w:val="en-US" w:eastAsia="zh-CN"/>
        </w:rPr>
        <w:t>5</w:t>
      </w:r>
      <w:r>
        <w:rPr>
          <w:rStyle w:val="15"/>
          <w:rFonts w:hint="eastAsia" w:ascii="仿宋" w:hAnsi="仿宋" w:eastAsia="仿宋" w:cs="仿宋_GB2312"/>
          <w:b w:val="0"/>
          <w:bCs/>
          <w:sz w:val="32"/>
          <w:szCs w:val="32"/>
          <w:shd w:val="clear" w:color="auto" w:fill="FFFFFF"/>
          <w:lang w:eastAsia="zh-CN"/>
        </w:rPr>
        <w:t>万元，完成预算的100%。</w:t>
      </w:r>
    </w:p>
    <w:p>
      <w:pPr>
        <w:pStyle w:val="12"/>
        <w:shd w:val="clear" w:color="auto" w:fill="FFFFFF"/>
        <w:spacing w:before="93" w:beforeAutospacing="0" w:after="136" w:afterAutospacing="0" w:line="27" w:lineRule="atLeast"/>
        <w:ind w:firstLine="581" w:firstLineChars="181"/>
        <w:rPr>
          <w:rStyle w:val="15"/>
          <w:rFonts w:hint="eastAsia" w:ascii="仿宋" w:hAnsi="仿宋" w:eastAsia="仿宋" w:cs="仿宋_GB2312"/>
          <w:b w:val="0"/>
          <w:bCs/>
          <w:sz w:val="32"/>
          <w:szCs w:val="32"/>
          <w:shd w:val="clear" w:color="auto" w:fill="FFFFFF"/>
          <w:lang w:eastAsia="zh-CN"/>
        </w:rPr>
      </w:pPr>
      <w:r>
        <w:rPr>
          <w:rStyle w:val="15"/>
          <w:rFonts w:hint="eastAsia" w:ascii="仿宋" w:hAnsi="仿宋" w:eastAsia="仿宋" w:cstheme="minorBidi"/>
          <w:bCs/>
          <w:kern w:val="2"/>
          <w:sz w:val="32"/>
          <w:szCs w:val="32"/>
          <w:lang w:val="en-US" w:eastAsia="zh-CN" w:bidi="ar-SA"/>
        </w:rPr>
        <w:t>14.卫生健康支出（类）计划生育服务（款）其他计划生育事务支出（项）:</w:t>
      </w:r>
      <w:r>
        <w:rPr>
          <w:rStyle w:val="15"/>
          <w:rFonts w:hint="eastAsia" w:ascii="仿宋" w:hAnsi="仿宋" w:eastAsia="仿宋" w:cs="仿宋_GB2312"/>
          <w:b w:val="0"/>
          <w:bCs/>
          <w:sz w:val="32"/>
          <w:szCs w:val="32"/>
          <w:shd w:val="clear" w:color="auto" w:fill="FFFFFF"/>
          <w:lang w:eastAsia="zh-CN"/>
        </w:rPr>
        <w:t xml:space="preserve"> 支出决算为</w:t>
      </w:r>
      <w:r>
        <w:rPr>
          <w:rStyle w:val="15"/>
          <w:rFonts w:hint="eastAsia" w:ascii="仿宋" w:hAnsi="仿宋" w:eastAsia="仿宋" w:cs="仿宋_GB2312"/>
          <w:b w:val="0"/>
          <w:bCs/>
          <w:sz w:val="32"/>
          <w:szCs w:val="32"/>
          <w:shd w:val="clear" w:color="auto" w:fill="FFFFFF"/>
          <w:lang w:val="en-US" w:eastAsia="zh-CN"/>
        </w:rPr>
        <w:t>7.28</w:t>
      </w:r>
      <w:r>
        <w:rPr>
          <w:rStyle w:val="15"/>
          <w:rFonts w:hint="eastAsia" w:ascii="仿宋" w:hAnsi="仿宋" w:eastAsia="仿宋" w:cs="仿宋_GB2312"/>
          <w:b w:val="0"/>
          <w:bCs/>
          <w:sz w:val="32"/>
          <w:szCs w:val="32"/>
          <w:shd w:val="clear" w:color="auto" w:fill="FFFFFF"/>
          <w:lang w:eastAsia="zh-CN"/>
        </w:rPr>
        <w:t>万元，完成预算的</w:t>
      </w:r>
      <w:r>
        <w:rPr>
          <w:rStyle w:val="15"/>
          <w:rFonts w:hint="eastAsia" w:ascii="仿宋" w:hAnsi="仿宋" w:eastAsia="仿宋" w:cs="仿宋_GB2312"/>
          <w:b w:val="0"/>
          <w:bCs/>
          <w:sz w:val="32"/>
          <w:szCs w:val="32"/>
          <w:shd w:val="clear" w:color="auto" w:fill="FFFFFF"/>
          <w:lang w:val="en-US" w:eastAsia="zh-CN"/>
        </w:rPr>
        <w:t>100</w:t>
      </w:r>
      <w:r>
        <w:rPr>
          <w:rStyle w:val="15"/>
          <w:rFonts w:hint="eastAsia" w:ascii="仿宋" w:hAnsi="仿宋" w:eastAsia="仿宋" w:cs="仿宋_GB2312"/>
          <w:b w:val="0"/>
          <w:bCs/>
          <w:sz w:val="32"/>
          <w:szCs w:val="32"/>
          <w:shd w:val="clear" w:color="auto" w:fill="FFFFFF"/>
          <w:lang w:eastAsia="zh-CN"/>
        </w:rPr>
        <w:t>%。</w:t>
      </w:r>
    </w:p>
    <w:p>
      <w:pPr>
        <w:pStyle w:val="12"/>
        <w:shd w:val="clear" w:color="auto" w:fill="FFFFFF"/>
        <w:spacing w:before="93" w:beforeAutospacing="0" w:after="136" w:afterAutospacing="0" w:line="27" w:lineRule="atLeast"/>
        <w:ind w:firstLine="581" w:firstLineChars="181"/>
        <w:rPr>
          <w:rStyle w:val="15"/>
          <w:rFonts w:hint="eastAsia" w:ascii="仿宋" w:hAnsi="仿宋" w:eastAsia="仿宋" w:cs="仿宋_GB2312"/>
          <w:b w:val="0"/>
          <w:bCs/>
          <w:sz w:val="32"/>
          <w:szCs w:val="32"/>
          <w:shd w:val="clear" w:color="auto" w:fill="FFFFFF"/>
          <w:lang w:eastAsia="zh-CN"/>
        </w:rPr>
      </w:pPr>
      <w:r>
        <w:rPr>
          <w:rStyle w:val="15"/>
          <w:rFonts w:hint="eastAsia" w:ascii="仿宋" w:hAnsi="仿宋" w:eastAsia="仿宋" w:cstheme="minorBidi"/>
          <w:bCs/>
          <w:kern w:val="2"/>
          <w:sz w:val="32"/>
          <w:szCs w:val="32"/>
          <w:lang w:val="en-US" w:eastAsia="zh-CN" w:bidi="ar-SA"/>
        </w:rPr>
        <w:t>15.卫生健康支出（类）行政事业单位医疗（款）其他行政事业单位医疗支出（项）:</w:t>
      </w:r>
      <w:r>
        <w:rPr>
          <w:rStyle w:val="15"/>
          <w:rFonts w:hint="eastAsia" w:ascii="仿宋" w:hAnsi="仿宋" w:eastAsia="仿宋" w:cs="仿宋_GB2312"/>
          <w:b w:val="0"/>
          <w:bCs/>
          <w:sz w:val="32"/>
          <w:szCs w:val="32"/>
          <w:shd w:val="clear" w:color="auto" w:fill="FFFFFF"/>
          <w:lang w:eastAsia="zh-CN"/>
        </w:rPr>
        <w:t xml:space="preserve"> 支出决算为</w:t>
      </w:r>
      <w:r>
        <w:rPr>
          <w:rStyle w:val="15"/>
          <w:rFonts w:hint="eastAsia" w:ascii="仿宋" w:hAnsi="仿宋" w:eastAsia="仿宋" w:cs="仿宋_GB2312"/>
          <w:b w:val="0"/>
          <w:bCs/>
          <w:sz w:val="32"/>
          <w:szCs w:val="32"/>
          <w:shd w:val="clear" w:color="auto" w:fill="FFFFFF"/>
          <w:lang w:val="en-US" w:eastAsia="zh-CN"/>
        </w:rPr>
        <w:t>274.50</w:t>
      </w:r>
      <w:r>
        <w:rPr>
          <w:rStyle w:val="15"/>
          <w:rFonts w:hint="eastAsia" w:ascii="仿宋" w:hAnsi="仿宋" w:eastAsia="仿宋" w:cs="仿宋_GB2312"/>
          <w:b w:val="0"/>
          <w:bCs/>
          <w:sz w:val="32"/>
          <w:szCs w:val="32"/>
          <w:shd w:val="clear" w:color="auto" w:fill="FFFFFF"/>
          <w:lang w:eastAsia="zh-CN"/>
        </w:rPr>
        <w:t>万元，完成预算的100%。</w:t>
      </w:r>
    </w:p>
    <w:p>
      <w:pPr>
        <w:pStyle w:val="12"/>
        <w:shd w:val="clear" w:color="auto" w:fill="FFFFFF"/>
        <w:spacing w:before="93" w:beforeAutospacing="0" w:after="136" w:afterAutospacing="0" w:line="27" w:lineRule="atLeast"/>
        <w:ind w:firstLine="581" w:firstLineChars="181"/>
        <w:rPr>
          <w:rStyle w:val="15"/>
          <w:rFonts w:hint="default" w:ascii="仿宋" w:hAnsi="仿宋" w:eastAsia="仿宋" w:cs="仿宋_GB2312"/>
          <w:b w:val="0"/>
          <w:bCs/>
          <w:sz w:val="32"/>
          <w:szCs w:val="32"/>
          <w:shd w:val="clear" w:color="auto" w:fill="FFFFFF"/>
          <w:lang w:val="en-US" w:eastAsia="zh-CN"/>
        </w:rPr>
      </w:pPr>
      <w:r>
        <w:rPr>
          <w:rStyle w:val="15"/>
          <w:rFonts w:hint="eastAsia" w:ascii="仿宋" w:hAnsi="仿宋" w:eastAsia="仿宋" w:cstheme="minorBidi"/>
          <w:bCs/>
          <w:kern w:val="2"/>
          <w:sz w:val="32"/>
          <w:szCs w:val="32"/>
          <w:lang w:val="en-US" w:eastAsia="zh-CN" w:bidi="ar-SA"/>
        </w:rPr>
        <w:t xml:space="preserve">16.卫生健康支出（类）医疗保障管理事务（款）其他医疗保障管理事务支出（项）: </w:t>
      </w:r>
      <w:r>
        <w:rPr>
          <w:rStyle w:val="15"/>
          <w:rFonts w:hint="eastAsia" w:ascii="仿宋" w:hAnsi="仿宋" w:eastAsia="仿宋" w:cs="仿宋_GB2312"/>
          <w:b w:val="0"/>
          <w:bCs/>
          <w:sz w:val="32"/>
          <w:szCs w:val="32"/>
          <w:shd w:val="clear" w:color="auto" w:fill="FFFFFF"/>
          <w:lang w:eastAsia="zh-CN"/>
        </w:rPr>
        <w:t>支出决算为</w:t>
      </w:r>
      <w:r>
        <w:rPr>
          <w:rStyle w:val="15"/>
          <w:rFonts w:hint="eastAsia" w:ascii="仿宋" w:hAnsi="仿宋" w:eastAsia="仿宋" w:cs="仿宋_GB2312"/>
          <w:b w:val="0"/>
          <w:bCs/>
          <w:sz w:val="32"/>
          <w:szCs w:val="32"/>
          <w:shd w:val="clear" w:color="auto" w:fill="FFFFFF"/>
          <w:lang w:val="en-US" w:eastAsia="zh-CN"/>
        </w:rPr>
        <w:t>136.68</w:t>
      </w:r>
      <w:r>
        <w:rPr>
          <w:rStyle w:val="15"/>
          <w:rFonts w:hint="eastAsia" w:ascii="仿宋" w:hAnsi="仿宋" w:eastAsia="仿宋" w:cs="仿宋_GB2312"/>
          <w:b w:val="0"/>
          <w:bCs/>
          <w:sz w:val="32"/>
          <w:szCs w:val="32"/>
          <w:shd w:val="clear" w:color="auto" w:fill="FFFFFF"/>
          <w:lang w:eastAsia="zh-CN"/>
        </w:rPr>
        <w:t>万元，完成预算的100%。</w:t>
      </w:r>
    </w:p>
    <w:p>
      <w:pPr>
        <w:pStyle w:val="12"/>
        <w:shd w:val="clear" w:color="auto" w:fill="FFFFFF"/>
        <w:spacing w:before="93" w:beforeAutospacing="0" w:after="136" w:afterAutospacing="0" w:line="27" w:lineRule="atLeast"/>
        <w:ind w:firstLine="581" w:firstLineChars="181"/>
        <w:rPr>
          <w:rStyle w:val="15"/>
          <w:rFonts w:hint="eastAsia" w:ascii="仿宋" w:hAnsi="仿宋" w:eastAsia="仿宋" w:cs="仿宋_GB2312"/>
          <w:b w:val="0"/>
          <w:bCs/>
          <w:sz w:val="32"/>
          <w:szCs w:val="32"/>
          <w:shd w:val="clear" w:color="auto" w:fill="FFFFFF"/>
          <w:lang w:eastAsia="zh-CN"/>
        </w:rPr>
      </w:pPr>
      <w:r>
        <w:rPr>
          <w:rStyle w:val="15"/>
          <w:rFonts w:hint="eastAsia" w:ascii="仿宋" w:hAnsi="仿宋" w:eastAsia="仿宋" w:cstheme="minorBidi"/>
          <w:bCs/>
          <w:kern w:val="2"/>
          <w:sz w:val="32"/>
          <w:szCs w:val="32"/>
          <w:lang w:val="en-US" w:eastAsia="zh-CN" w:bidi="ar-SA"/>
        </w:rPr>
        <w:t xml:space="preserve">17.卫生健康支出（类）其他卫生健康支出（款）其他卫生健康支出（项）: </w:t>
      </w:r>
      <w:r>
        <w:rPr>
          <w:rStyle w:val="15"/>
          <w:rFonts w:hint="eastAsia" w:ascii="仿宋" w:hAnsi="仿宋" w:eastAsia="仿宋" w:cs="仿宋_GB2312"/>
          <w:b w:val="0"/>
          <w:bCs/>
          <w:sz w:val="32"/>
          <w:szCs w:val="32"/>
          <w:shd w:val="clear" w:color="auto" w:fill="FFFFFF"/>
          <w:lang w:eastAsia="zh-CN"/>
        </w:rPr>
        <w:t>支出决算为</w:t>
      </w:r>
      <w:r>
        <w:rPr>
          <w:rStyle w:val="15"/>
          <w:rFonts w:hint="eastAsia" w:ascii="仿宋" w:hAnsi="仿宋" w:eastAsia="仿宋" w:cs="仿宋_GB2312"/>
          <w:b w:val="0"/>
          <w:bCs/>
          <w:sz w:val="32"/>
          <w:szCs w:val="32"/>
          <w:shd w:val="clear" w:color="auto" w:fill="FFFFFF"/>
          <w:lang w:val="en-US" w:eastAsia="zh-CN"/>
        </w:rPr>
        <w:t>2013.33</w:t>
      </w:r>
      <w:r>
        <w:rPr>
          <w:rStyle w:val="15"/>
          <w:rFonts w:hint="eastAsia" w:ascii="仿宋" w:hAnsi="仿宋" w:eastAsia="仿宋" w:cs="仿宋_GB2312"/>
          <w:b w:val="0"/>
          <w:bCs/>
          <w:sz w:val="32"/>
          <w:szCs w:val="32"/>
          <w:shd w:val="clear" w:color="auto" w:fill="FFFFFF"/>
          <w:lang w:eastAsia="zh-CN"/>
        </w:rPr>
        <w:t>万元，完成预算的</w:t>
      </w:r>
      <w:r>
        <w:rPr>
          <w:rStyle w:val="15"/>
          <w:rFonts w:hint="eastAsia" w:ascii="仿宋" w:hAnsi="仿宋" w:eastAsia="仿宋" w:cs="仿宋_GB2312"/>
          <w:b w:val="0"/>
          <w:bCs/>
          <w:sz w:val="32"/>
          <w:szCs w:val="32"/>
          <w:shd w:val="clear" w:color="auto" w:fill="FFFFFF"/>
          <w:lang w:val="en-US" w:eastAsia="zh-CN"/>
        </w:rPr>
        <w:t>100</w:t>
      </w:r>
      <w:r>
        <w:rPr>
          <w:rStyle w:val="15"/>
          <w:rFonts w:hint="eastAsia" w:ascii="仿宋" w:hAnsi="仿宋" w:eastAsia="仿宋" w:cs="仿宋_GB2312"/>
          <w:b w:val="0"/>
          <w:bCs/>
          <w:sz w:val="32"/>
          <w:szCs w:val="32"/>
          <w:shd w:val="clear" w:color="auto" w:fill="FFFFFF"/>
          <w:lang w:eastAsia="zh-CN"/>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w:t>
      </w:r>
      <w:r>
        <w:rPr>
          <w:rFonts w:hint="eastAsia" w:ascii="仿宋" w:hAnsi="仿宋" w:eastAsia="仿宋"/>
          <w:b/>
          <w:sz w:val="32"/>
          <w:szCs w:val="32"/>
        </w:rPr>
        <w:t>。增减变动原因为决算数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6"/>
        </w:rPr>
      </w:pPr>
      <w:bookmarkStart w:id="110" w:name="_Toc23119"/>
      <w:bookmarkStart w:id="111" w:name="_Toc15396608"/>
      <w:bookmarkStart w:id="112" w:name="_Toc15377214"/>
      <w:bookmarkStart w:id="113" w:name="_Toc15735"/>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110"/>
      <w:bookmarkEnd w:id="111"/>
      <w:bookmarkEnd w:id="112"/>
      <w:bookmarkEnd w:id="113"/>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年一般公共预算财政拨款基本支出</w:t>
      </w:r>
      <w:r>
        <w:rPr>
          <w:rFonts w:hint="eastAsia" w:ascii="仿宋" w:hAnsi="仿宋" w:eastAsia="仿宋"/>
          <w:sz w:val="32"/>
          <w:szCs w:val="32"/>
          <w:lang w:val="en-US" w:eastAsia="zh-CN"/>
        </w:rPr>
        <w:t>6012.48</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5945.16</w:t>
      </w:r>
      <w:r>
        <w:rPr>
          <w:rFonts w:hint="eastAsia" w:ascii="仿宋" w:hAnsi="仿宋" w:eastAsia="仿宋"/>
          <w:sz w:val="32"/>
          <w:szCs w:val="32"/>
        </w:rPr>
        <w:t>万元，主要包括：基本工资、津贴补贴、绩效工资、机关事业单位基本养老保险缴费、职业年金缴费、其他社会保障缴费、其他工资福利支出、离休费、其他对个人和家庭的补助支出。</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67.32</w:t>
      </w:r>
      <w:r>
        <w:rPr>
          <w:rFonts w:hint="eastAsia" w:ascii="仿宋" w:hAnsi="仿宋" w:eastAsia="仿宋"/>
          <w:sz w:val="32"/>
          <w:szCs w:val="32"/>
        </w:rPr>
        <w:t>万元，主要包括：其他商品和服务支出。</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pPr>
        <w:spacing w:line="600" w:lineRule="exact"/>
        <w:ind w:firstLine="640"/>
        <w:rPr>
          <w:rFonts w:ascii="仿宋" w:hAnsi="仿宋" w:eastAsia="仿宋"/>
          <w:b/>
          <w:sz w:val="32"/>
          <w:szCs w:val="32"/>
        </w:rPr>
      </w:pPr>
    </w:p>
    <w:p>
      <w:pPr>
        <w:spacing w:line="600" w:lineRule="exact"/>
        <w:ind w:firstLine="640"/>
        <w:outlineLvl w:val="1"/>
        <w:rPr>
          <w:rStyle w:val="26"/>
          <w:rFonts w:ascii="黑体" w:hAnsi="黑体" w:eastAsia="黑体"/>
          <w:b w:val="0"/>
        </w:rPr>
      </w:pPr>
      <w:bookmarkStart w:id="114" w:name="_Toc29874"/>
      <w:bookmarkStart w:id="115" w:name="_Toc15396609"/>
      <w:bookmarkStart w:id="116" w:name="_Toc15377215"/>
      <w:bookmarkStart w:id="117" w:name="_Toc24953"/>
      <w:r>
        <w:rPr>
          <w:rFonts w:hint="eastAsia" w:ascii="黑体" w:eastAsia="黑体"/>
          <w:sz w:val="32"/>
          <w:szCs w:val="32"/>
        </w:rPr>
        <w:t>七、</w:t>
      </w:r>
      <w:bookmarkEnd w:id="114"/>
      <w:bookmarkEnd w:id="115"/>
      <w:bookmarkEnd w:id="116"/>
      <w:r>
        <w:rPr>
          <w:rStyle w:val="26"/>
          <w:rFonts w:hint="eastAsia" w:ascii="黑体" w:hAnsi="黑体" w:eastAsia="黑体"/>
          <w:b w:val="0"/>
          <w:color w:val="auto"/>
          <w:highlight w:val="none"/>
        </w:rPr>
        <w:t>财政拨款</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三公”经费支出决算情况说明</w:t>
      </w:r>
      <w:bookmarkEnd w:id="117"/>
    </w:p>
    <w:p>
      <w:pPr>
        <w:spacing w:line="600" w:lineRule="exact"/>
        <w:ind w:firstLine="640"/>
        <w:outlineLvl w:val="2"/>
        <w:rPr>
          <w:rFonts w:ascii="仿宋" w:hAnsi="仿宋" w:eastAsia="仿宋"/>
          <w:b/>
          <w:sz w:val="32"/>
          <w:szCs w:val="32"/>
        </w:rPr>
      </w:pPr>
      <w:bookmarkStart w:id="118" w:name="_Toc7714"/>
      <w:bookmarkStart w:id="119" w:name="_Toc15377216"/>
      <w:r>
        <w:rPr>
          <w:rFonts w:hint="eastAsia" w:ascii="仿宋" w:hAnsi="仿宋" w:eastAsia="仿宋"/>
          <w:b/>
          <w:sz w:val="32"/>
          <w:szCs w:val="32"/>
        </w:rPr>
        <w:t>（一）“三公”经费财政拨款支出决算总体情况说明</w:t>
      </w:r>
      <w:bookmarkEnd w:id="118"/>
      <w:bookmarkEnd w:id="11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年“三公”经费财政拨款支出决算为</w:t>
      </w:r>
      <w:r>
        <w:rPr>
          <w:rFonts w:hint="eastAsia" w:ascii="仿宋" w:hAnsi="仿宋" w:eastAsia="仿宋"/>
          <w:sz w:val="32"/>
          <w:szCs w:val="32"/>
          <w:lang w:val="en-US" w:eastAsia="zh-CN"/>
        </w:rPr>
        <w:t>0</w:t>
      </w:r>
      <w:r>
        <w:rPr>
          <w:rFonts w:hint="eastAsia" w:ascii="仿宋" w:hAnsi="仿宋" w:eastAsia="仿宋"/>
          <w:sz w:val="32"/>
          <w:szCs w:val="32"/>
        </w:rPr>
        <w:t>万元，完成预算</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，我单位不属于“三公”经费财政拨款支出的预算单位。</w:t>
      </w:r>
    </w:p>
    <w:p>
      <w:pPr>
        <w:spacing w:line="600" w:lineRule="exact"/>
        <w:ind w:firstLine="640"/>
        <w:rPr>
          <w:b w:val="0"/>
          <w:bCs/>
        </w:rPr>
      </w:pPr>
      <w:r>
        <w:rPr>
          <w:rFonts w:hint="eastAsia" w:ascii="仿宋" w:hAnsi="仿宋" w:eastAsia="仿宋"/>
          <w:b/>
          <w:sz w:val="32"/>
          <w:szCs w:val="32"/>
        </w:rPr>
        <w:t>（注：上述“预算”口径为调整预算数，包括一般公共预算和政府性基金预算财政拨款支出决算情况。）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120" w:name="_Toc16887"/>
      <w:bookmarkStart w:id="121" w:name="_Toc15377217"/>
      <w:r>
        <w:rPr>
          <w:rFonts w:hint="eastAsia" w:ascii="仿宋" w:hAnsi="仿宋" w:eastAsia="仿宋"/>
          <w:b/>
          <w:sz w:val="32"/>
          <w:szCs w:val="32"/>
        </w:rPr>
        <w:t>（二）“三公”经费财政拨款支出决算具体情况说明</w:t>
      </w:r>
      <w:bookmarkEnd w:id="120"/>
      <w:bookmarkEnd w:id="121"/>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。具体情况如下：</w:t>
      </w:r>
    </w:p>
    <w:p>
      <w:pPr>
        <w:pStyle w:val="2"/>
        <w:jc w:val="center"/>
        <w:rPr>
          <w:rFonts w:hint="eastAsia" w:eastAsia="仿宋"/>
          <w:lang w:eastAsia="zh-CN"/>
        </w:rPr>
      </w:pPr>
      <w:r>
        <w:rPr>
          <w:rFonts w:hint="eastAsia" w:eastAsia="仿宋"/>
          <w:lang w:eastAsia="zh-CN"/>
        </w:rPr>
        <w:drawing>
          <wp:inline distT="0" distB="0" distL="114300" distR="114300">
            <wp:extent cx="4333875" cy="2499360"/>
            <wp:effectExtent l="0" t="0" r="9525" b="15240"/>
            <wp:docPr id="11" name="图片 11"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8"/>
                    <pic:cNvPicPr>
                      <a:picLocks noChangeAspect="1"/>
                    </pic:cNvPicPr>
                  </pic:nvPicPr>
                  <pic:blipFill>
                    <a:blip r:embed="rId12"/>
                    <a:stretch>
                      <a:fillRect/>
                    </a:stretch>
                  </pic:blipFill>
                  <pic:spPr>
                    <a:xfrm>
                      <a:off x="0" y="0"/>
                      <a:ext cx="4333875" cy="2499360"/>
                    </a:xfrm>
                    <a:prstGeom prst="rect">
                      <a:avLst/>
                    </a:prstGeom>
                  </pic:spPr>
                </pic:pic>
              </a:graphicData>
            </a:graphic>
          </wp:inline>
        </w:drawing>
      </w:r>
    </w:p>
    <w:p>
      <w:pPr>
        <w:spacing w:line="600" w:lineRule="exact"/>
        <w:ind w:firstLine="640"/>
        <w:jc w:val="center"/>
        <w:rPr>
          <w:rFonts w:hint="eastAsia"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0"/>
        <w:jc w:val="left"/>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持平</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一致</w:t>
      </w:r>
      <w:r>
        <w:rPr>
          <w:rFonts w:hint="eastAsia" w:ascii="仿宋_GB2312" w:eastAsia="仿宋_GB2312"/>
          <w:sz w:val="32"/>
          <w:szCs w:val="32"/>
        </w:rPr>
        <w:t>。</w:t>
      </w:r>
    </w:p>
    <w:p>
      <w:pPr>
        <w:spacing w:line="600" w:lineRule="exact"/>
        <w:ind w:firstLine="640" w:firstLineChars="200"/>
        <w:rPr>
          <w:rFonts w:hint="default" w:ascii="仿宋_GB2312" w:eastAsia="仿宋_GB2312"/>
          <w:b/>
          <w:sz w:val="32"/>
          <w:szCs w:val="32"/>
          <w:lang w:val="en-US" w:eastAsia="zh-CN"/>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29</w:t>
      </w:r>
      <w:r>
        <w:rPr>
          <w:rFonts w:hint="eastAsia" w:ascii="仿宋_GB2312" w:eastAsia="仿宋_GB2312"/>
          <w:sz w:val="32"/>
          <w:szCs w:val="32"/>
        </w:rPr>
        <w:t>辆，其中：轿车</w:t>
      </w:r>
      <w:r>
        <w:rPr>
          <w:rFonts w:hint="eastAsia" w:ascii="仿宋_GB2312" w:eastAsia="仿宋_GB2312"/>
          <w:sz w:val="32"/>
          <w:szCs w:val="32"/>
          <w:lang w:val="en-US" w:eastAsia="zh-CN"/>
        </w:rPr>
        <w:t>7</w:t>
      </w:r>
      <w:r>
        <w:rPr>
          <w:rFonts w:hint="eastAsia" w:ascii="仿宋_GB2312" w:eastAsia="仿宋_GB2312"/>
          <w:sz w:val="32"/>
          <w:szCs w:val="32"/>
        </w:rPr>
        <w:t>辆、越野车</w:t>
      </w:r>
      <w:r>
        <w:rPr>
          <w:rFonts w:hint="eastAsia" w:ascii="仿宋_GB2312" w:eastAsia="仿宋_GB2312"/>
          <w:sz w:val="32"/>
          <w:szCs w:val="32"/>
          <w:lang w:val="en-US" w:eastAsia="zh-CN"/>
        </w:rPr>
        <w:t>3</w:t>
      </w:r>
      <w:r>
        <w:rPr>
          <w:rFonts w:hint="eastAsia" w:ascii="仿宋_GB2312" w:eastAsia="仿宋_GB2312"/>
          <w:sz w:val="32"/>
          <w:szCs w:val="32"/>
        </w:rPr>
        <w:t>辆、载客汽车</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eastAsia="仿宋_GB2312"/>
          <w:sz w:val="32"/>
          <w:szCs w:val="32"/>
          <w:lang w:eastAsia="zh-CN"/>
        </w:rPr>
        <w:t>、商务车4辆、救护车1</w:t>
      </w:r>
      <w:r>
        <w:rPr>
          <w:rFonts w:hint="eastAsia" w:ascii="仿宋_GB2312" w:eastAsia="仿宋_GB2312"/>
          <w:sz w:val="32"/>
          <w:szCs w:val="32"/>
          <w:lang w:val="en-US" w:eastAsia="zh-CN"/>
        </w:rPr>
        <w:t>4</w:t>
      </w:r>
      <w:r>
        <w:rPr>
          <w:rFonts w:hint="eastAsia" w:ascii="仿宋_GB2312" w:eastAsia="仿宋_GB2312"/>
          <w:sz w:val="32"/>
          <w:szCs w:val="32"/>
          <w:lang w:eastAsia="zh-CN"/>
        </w:rPr>
        <w:t>辆</w:t>
      </w:r>
      <w:r>
        <w:rPr>
          <w:rFonts w:hint="eastAsia" w:ascii="仿宋_GB2312" w:eastAsia="仿宋_GB2312"/>
          <w:sz w:val="32"/>
          <w:szCs w:val="32"/>
          <w:lang w:val="en-US" w:eastAsia="zh-CN"/>
        </w:rPr>
        <w:t>。</w:t>
      </w:r>
    </w:p>
    <w:p>
      <w:pPr>
        <w:spacing w:line="600" w:lineRule="exact"/>
        <w:ind w:firstLine="640"/>
        <w:rPr>
          <w:rFonts w:hint="eastAsia" w:ascii="仿宋_GB2312" w:eastAsia="仿宋_GB2312"/>
          <w:sz w:val="32"/>
          <w:szCs w:val="32"/>
          <w:lang w:eastAsia="zh-CN"/>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hint="default" w:ascii="仿宋_GB2312" w:eastAsia="仿宋_GB2312"/>
          <w:sz w:val="32"/>
          <w:szCs w:val="32"/>
          <w:lang w:val="en-US"/>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hint="eastAsia" w:ascii="仿宋" w:hAnsi="仿宋" w:eastAsia="仿宋"/>
          <w:b w:val="0"/>
          <w:bCs/>
          <w:sz w:val="32"/>
          <w:szCs w:val="32"/>
          <w:lang w:val="en-US" w:eastAsia="zh-CN"/>
        </w:rPr>
        <w:t>0</w:t>
      </w:r>
      <w:r>
        <w:rPr>
          <w:rStyle w:val="15"/>
          <w:rFonts w:ascii="仿宋" w:hAnsi="仿宋" w:eastAsia="仿宋"/>
          <w:b w:val="0"/>
          <w:bCs/>
          <w:sz w:val="32"/>
          <w:szCs w:val="32"/>
        </w:rPr>
        <w:t>%</w:t>
      </w:r>
      <w:r>
        <w:rPr>
          <w:rStyle w:val="15"/>
          <w:rFonts w:hint="eastAsia" w:ascii="仿宋" w:hAnsi="仿宋" w:eastAsia="仿宋"/>
          <w:b w:val="0"/>
          <w:bCs/>
          <w:sz w:val="32"/>
          <w:szCs w:val="32"/>
        </w:rPr>
        <w:t>。</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w:t>
      </w:r>
      <w:r>
        <w:rPr>
          <w:rFonts w:hint="eastAsia" w:ascii="仿宋_GB2312" w:eastAsia="仿宋_GB2312"/>
          <w:sz w:val="32"/>
          <w:szCs w:val="32"/>
        </w:rPr>
        <w:t>万元。国内公务接待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3" w:firstLineChars="200"/>
        <w:rPr>
          <w:rFonts w:hint="eastAsia" w:ascii="仿宋_GB2312" w:eastAsia="仿宋_GB2312"/>
          <w:sz w:val="32"/>
          <w:szCs w:val="32"/>
          <w:lang w:eastAsia="zh-CN"/>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人，共计支出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pPr>
        <w:spacing w:line="600" w:lineRule="exact"/>
        <w:ind w:firstLine="640"/>
        <w:outlineLvl w:val="1"/>
        <w:rPr>
          <w:rFonts w:ascii="黑体" w:eastAsia="黑体"/>
          <w:sz w:val="32"/>
          <w:szCs w:val="32"/>
        </w:rPr>
      </w:pPr>
      <w:bookmarkStart w:id="122" w:name="_Toc15377218"/>
      <w:bookmarkStart w:id="123" w:name="_Toc15396610"/>
    </w:p>
    <w:p>
      <w:pPr>
        <w:spacing w:line="600" w:lineRule="exact"/>
        <w:ind w:firstLine="640"/>
        <w:outlineLvl w:val="1"/>
        <w:rPr>
          <w:rStyle w:val="26"/>
          <w:rFonts w:ascii="黑体" w:hAnsi="黑体" w:eastAsia="黑体"/>
        </w:rPr>
      </w:pPr>
      <w:bookmarkStart w:id="124" w:name="_Toc6207"/>
      <w:bookmarkStart w:id="125" w:name="_Toc15393"/>
      <w:r>
        <w:rPr>
          <w:rFonts w:hint="eastAsia" w:ascii="黑体" w:eastAsia="黑体"/>
          <w:sz w:val="32"/>
          <w:szCs w:val="32"/>
        </w:rPr>
        <w:t>八、</w:t>
      </w:r>
      <w:r>
        <w:rPr>
          <w:rStyle w:val="26"/>
          <w:rFonts w:hint="eastAsia" w:ascii="黑体" w:hAnsi="黑体" w:eastAsia="黑体"/>
          <w:b w:val="0"/>
        </w:rPr>
        <w:t>政府性基金预算支出决算情况说明</w:t>
      </w:r>
      <w:bookmarkEnd w:id="122"/>
      <w:bookmarkEnd w:id="123"/>
      <w:bookmarkEnd w:id="124"/>
      <w:bookmarkEnd w:id="12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6"/>
          <w:rFonts w:ascii="黑体" w:hAnsi="黑体" w:eastAsia="黑体"/>
          <w:b w:val="0"/>
        </w:rPr>
      </w:pPr>
      <w:bookmarkStart w:id="126" w:name="_Toc10624"/>
      <w:bookmarkStart w:id="127" w:name="_Toc15396611"/>
      <w:bookmarkStart w:id="128" w:name="_Toc15377219"/>
      <w:bookmarkStart w:id="129" w:name="_Toc1483"/>
      <w:r>
        <w:rPr>
          <w:rStyle w:val="26"/>
          <w:rFonts w:hint="eastAsia" w:ascii="黑体" w:hAnsi="黑体" w:eastAsia="黑体"/>
          <w:b w:val="0"/>
        </w:rPr>
        <w:t>国有资本经营预算支出决算情况说明</w:t>
      </w:r>
      <w:bookmarkEnd w:id="126"/>
      <w:bookmarkEnd w:id="127"/>
      <w:bookmarkEnd w:id="128"/>
      <w:bookmarkEnd w:id="129"/>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6"/>
          <w:rFonts w:ascii="黑体" w:hAnsi="黑体" w:eastAsia="黑体"/>
          <w:b w:val="0"/>
        </w:rPr>
      </w:pPr>
      <w:bookmarkStart w:id="130" w:name="_Toc15377221"/>
      <w:bookmarkStart w:id="131" w:name="_Toc15396612"/>
      <w:bookmarkStart w:id="132" w:name="_Toc27937"/>
      <w:bookmarkStart w:id="133" w:name="_Toc21210"/>
      <w:r>
        <w:rPr>
          <w:rStyle w:val="26"/>
          <w:rFonts w:hint="eastAsia" w:ascii="黑体" w:hAnsi="黑体" w:eastAsia="黑体"/>
          <w:b w:val="0"/>
        </w:rPr>
        <w:t>其他重要事项的情况说明</w:t>
      </w:r>
      <w:bookmarkEnd w:id="130"/>
      <w:bookmarkEnd w:id="131"/>
      <w:bookmarkEnd w:id="132"/>
      <w:bookmarkEnd w:id="133"/>
    </w:p>
    <w:p>
      <w:pPr>
        <w:spacing w:line="600" w:lineRule="exact"/>
        <w:ind w:firstLine="643" w:firstLineChars="200"/>
        <w:outlineLvl w:val="2"/>
        <w:rPr>
          <w:rFonts w:ascii="仿宋" w:hAnsi="仿宋" w:eastAsia="仿宋"/>
          <w:sz w:val="32"/>
          <w:szCs w:val="32"/>
        </w:rPr>
      </w:pPr>
      <w:bookmarkStart w:id="134" w:name="_Toc15377222"/>
      <w:bookmarkStart w:id="135" w:name="_Toc24833"/>
      <w:r>
        <w:rPr>
          <w:rFonts w:hint="eastAsia" w:ascii="仿宋" w:hAnsi="仿宋" w:eastAsia="仿宋"/>
          <w:b/>
          <w:sz w:val="32"/>
          <w:szCs w:val="32"/>
        </w:rPr>
        <w:t>（一）机关运行经费支出情况</w:t>
      </w:r>
      <w:bookmarkEnd w:id="134"/>
      <w:bookmarkEnd w:id="135"/>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州一医院</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万元，与</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年决算数持平。</w:t>
      </w:r>
    </w:p>
    <w:p>
      <w:pPr>
        <w:spacing w:line="600" w:lineRule="exact"/>
        <w:ind w:firstLine="643" w:firstLineChars="200"/>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136" w:name="_Toc6729"/>
      <w:bookmarkStart w:id="137" w:name="_Toc15377223"/>
      <w:r>
        <w:rPr>
          <w:rFonts w:hint="eastAsia" w:ascii="仿宋" w:hAnsi="仿宋" w:eastAsia="仿宋"/>
          <w:b/>
          <w:sz w:val="32"/>
          <w:szCs w:val="32"/>
        </w:rPr>
        <w:t>（二）政府采购支出情况</w:t>
      </w:r>
      <w:bookmarkEnd w:id="136"/>
      <w:bookmarkEnd w:id="13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州一医院</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万元。主要用于政府采购目录类通用设备和</w:t>
      </w:r>
      <w:r>
        <w:rPr>
          <w:rFonts w:hint="eastAsia" w:ascii="仿宋_GB2312" w:eastAsia="仿宋_GB2312"/>
          <w:sz w:val="32"/>
          <w:szCs w:val="32"/>
          <w:lang w:eastAsia="zh-CN"/>
        </w:rPr>
        <w:t>保洁服务等</w:t>
      </w:r>
      <w:r>
        <w:rPr>
          <w:rFonts w:hint="eastAsia" w:ascii="仿宋_GB2312" w:eastAsia="仿宋_GB2312"/>
          <w:sz w:val="32"/>
          <w:szCs w:val="32"/>
        </w:rPr>
        <w:t>。授予中小企业合同金额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138" w:name="_Toc15377224"/>
      <w:bookmarkStart w:id="139" w:name="_Toc31783"/>
      <w:r>
        <w:rPr>
          <w:rFonts w:hint="eastAsia" w:ascii="仿宋" w:hAnsi="仿宋" w:eastAsia="仿宋"/>
          <w:b/>
          <w:sz w:val="32"/>
          <w:szCs w:val="32"/>
        </w:rPr>
        <w:t>（三）国有资产占有使用情况</w:t>
      </w:r>
      <w:bookmarkEnd w:id="138"/>
      <w:bookmarkEnd w:id="139"/>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州一医院</w:t>
      </w:r>
      <w:r>
        <w:rPr>
          <w:rFonts w:hint="eastAsia" w:ascii="仿宋_GB2312" w:eastAsia="仿宋_GB2312"/>
          <w:sz w:val="32"/>
          <w:szCs w:val="32"/>
        </w:rPr>
        <w:t>共有车辆</w:t>
      </w:r>
      <w:r>
        <w:rPr>
          <w:rFonts w:hint="eastAsia" w:ascii="仿宋_GB2312" w:eastAsia="仿宋_GB2312"/>
          <w:sz w:val="32"/>
          <w:szCs w:val="32"/>
          <w:lang w:val="en-US" w:eastAsia="zh-CN"/>
        </w:rPr>
        <w:t>29</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15</w:t>
      </w:r>
      <w:r>
        <w:rPr>
          <w:rFonts w:hint="eastAsia" w:ascii="仿宋_GB2312" w:eastAsia="仿宋_GB2312"/>
          <w:sz w:val="32"/>
          <w:szCs w:val="32"/>
        </w:rPr>
        <w:t>辆、特种专业技术用车</w:t>
      </w:r>
      <w:r>
        <w:rPr>
          <w:rFonts w:hint="eastAsia" w:ascii="仿宋_GB2312" w:eastAsia="仿宋_GB2312"/>
          <w:sz w:val="32"/>
          <w:szCs w:val="32"/>
          <w:lang w:val="en-US" w:eastAsia="zh-CN"/>
        </w:rPr>
        <w:t>14辆、</w:t>
      </w:r>
      <w:r>
        <w:rPr>
          <w:rFonts w:hint="eastAsia" w:ascii="仿宋_GB2312" w:eastAsia="仿宋_GB2312"/>
          <w:sz w:val="32"/>
          <w:szCs w:val="32"/>
        </w:rPr>
        <w:t>其他用车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101</w:t>
      </w:r>
      <w:r>
        <w:rPr>
          <w:rFonts w:hint="eastAsia" w:ascii="仿宋_GB2312" w:eastAsia="仿宋_GB2312"/>
          <w:sz w:val="32"/>
          <w:szCs w:val="32"/>
        </w:rPr>
        <w:t>台（套）。</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140" w:name="_Toc2072"/>
      <w:r>
        <w:rPr>
          <w:rFonts w:hint="eastAsia" w:ascii="仿宋" w:hAnsi="仿宋" w:eastAsia="仿宋"/>
          <w:b/>
          <w:sz w:val="32"/>
          <w:szCs w:val="32"/>
        </w:rPr>
        <w:t>（四）预算绩效管理情况</w:t>
      </w:r>
      <w:bookmarkEnd w:id="140"/>
    </w:p>
    <w:p>
      <w:pPr>
        <w:spacing w:line="5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根据预算绩效管理要求，本单位在202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年度预算编制阶段，组织对</w:t>
      </w:r>
      <w:r>
        <w:rPr>
          <w:rFonts w:hint="eastAsia" w:ascii="仿宋_GB2312" w:hAnsi="仿宋_GB2312" w:eastAsia="仿宋_GB2312" w:cs="仿宋_GB2312"/>
          <w:sz w:val="32"/>
          <w:szCs w:val="32"/>
          <w:lang w:val="en-US" w:eastAsia="zh-CN"/>
        </w:rPr>
        <w:t>2022年机关运转项目、非税收入安排日常维修维护费、2022年度公务用车招标项目（自有资金）、院外招标年度预算（自有资金安排）</w:t>
      </w:r>
      <w:r>
        <w:rPr>
          <w:rFonts w:hint="eastAsia" w:ascii="仿宋_GB2312" w:hAnsi="仿宋_GB2312" w:eastAsia="仿宋_GB2312" w:cs="仿宋_GB2312"/>
          <w:sz w:val="32"/>
          <w:szCs w:val="32"/>
          <w:lang w:eastAsia="zh-CN"/>
        </w:rPr>
        <w:t>项目等</w:t>
      </w:r>
      <w:r>
        <w:rPr>
          <w:rFonts w:hint="eastAsia" w:ascii="仿宋_GB2312" w:hAnsi="仿宋_GB2312" w:eastAsia="仿宋_GB2312" w:cs="仿宋_GB2312"/>
          <w:sz w:val="32"/>
          <w:szCs w:val="32"/>
          <w:lang w:val="en-US" w:eastAsia="zh-CN"/>
        </w:rPr>
        <w:t>4个项目</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4个</w:t>
      </w:r>
      <w:r>
        <w:rPr>
          <w:rFonts w:hint="eastAsia" w:ascii="仿宋_GB2312" w:hAnsi="仿宋_GB2312" w:eastAsia="仿宋_GB2312" w:cs="仿宋_GB2312"/>
          <w:sz w:val="32"/>
          <w:szCs w:val="32"/>
        </w:rPr>
        <w:t>项目编制了绩效目标，预算执行过程中，</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个项目开展绩效监控，</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34个</w:t>
      </w:r>
      <w:r>
        <w:rPr>
          <w:rFonts w:hint="eastAsia" w:ascii="仿宋_GB2312" w:hAnsi="仿宋_GB2312" w:eastAsia="仿宋_GB2312" w:cs="仿宋_GB2312"/>
          <w:sz w:val="32"/>
          <w:szCs w:val="32"/>
        </w:rPr>
        <w:t>项目开展了绩效自评，</w:t>
      </w:r>
      <w:r>
        <w:rPr>
          <w:rFonts w:hint="eastAsia" w:ascii="仿宋_GB2312" w:hAnsi="仿宋_GB2312" w:eastAsia="仿宋_GB2312" w:cs="仿宋_GB2312"/>
          <w:sz w:val="32"/>
          <w:szCs w:val="32"/>
          <w:highlight w:val="none"/>
        </w:rPr>
        <w:t>绩效自评表见第四部分附件。</w:t>
      </w: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numPr>
          <w:ilvl w:val="0"/>
          <w:numId w:val="4"/>
        </w:numPr>
        <w:spacing w:line="600" w:lineRule="exact"/>
        <w:ind w:firstLine="660" w:firstLineChars="150"/>
        <w:jc w:val="center"/>
        <w:outlineLvl w:val="0"/>
        <w:rPr>
          <w:rStyle w:val="25"/>
          <w:rFonts w:ascii="黑体" w:hAnsi="黑体" w:eastAsia="黑体"/>
          <w:b w:val="0"/>
          <w:highlight w:val="none"/>
        </w:rPr>
      </w:pPr>
      <w:bookmarkStart w:id="141" w:name="_Toc32660"/>
      <w:bookmarkStart w:id="142" w:name="_Toc15377225"/>
      <w:bookmarkStart w:id="143" w:name="_Toc15396613"/>
      <w:bookmarkStart w:id="144" w:name="_Toc2231"/>
      <w:r>
        <w:rPr>
          <w:rFonts w:hint="eastAsia" w:ascii="黑体" w:hAnsi="黑体" w:eastAsia="黑体"/>
          <w:sz w:val="44"/>
          <w:szCs w:val="44"/>
          <w:highlight w:val="none"/>
        </w:rPr>
        <w:t>名</w:t>
      </w:r>
      <w:r>
        <w:rPr>
          <w:rStyle w:val="25"/>
          <w:rFonts w:hint="eastAsia" w:ascii="黑体" w:hAnsi="黑体" w:eastAsia="黑体"/>
          <w:b w:val="0"/>
          <w:highlight w:val="none"/>
        </w:rPr>
        <w:t>词解释</w:t>
      </w:r>
      <w:bookmarkEnd w:id="141"/>
      <w:bookmarkEnd w:id="142"/>
      <w:bookmarkEnd w:id="143"/>
      <w:bookmarkEnd w:id="144"/>
    </w:p>
    <w:p>
      <w:pPr>
        <w:spacing w:line="600" w:lineRule="exact"/>
        <w:jc w:val="left"/>
        <w:rPr>
          <w:rFonts w:ascii="宋体"/>
          <w:b/>
          <w:sz w:val="44"/>
          <w:szCs w:val="44"/>
          <w:highlight w:val="none"/>
        </w:rPr>
      </w:pP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事业收入：指事业单位开展专业业务活动及辅助活动取得的收入。如医疗诊断、检查、检验、手术、护理等。</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rPr>
        <w:t>使用非财政拨款结余：指事业单位使用以前年度积累的非财政拨款结余弥补当年收支差额的金额。</w:t>
      </w:r>
      <w:r>
        <w:rPr>
          <w:rFonts w:ascii="仿宋_GB2312" w:eastAsia="仿宋_GB2312"/>
          <w:color w:val="auto"/>
          <w:sz w:val="32"/>
          <w:szCs w:val="32"/>
          <w:highlight w:val="none"/>
        </w:rPr>
        <w:t xml:space="preserve"> </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结余分配：指事业单位按照会计制度规定缴纳的所得税、提取的专用结余以及转入非财政拨款结余的金额等。</w:t>
      </w:r>
    </w:p>
    <w:p>
      <w:pPr>
        <w:pStyle w:val="23"/>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pStyle w:val="23"/>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.科学技术支出（类）技术研究与开发（款）应用技术研究与开发（项）：指从事技术开发研究和近期可望取得实用价值的专项技术开发研究的支出。</w:t>
      </w:r>
    </w:p>
    <w:p>
      <w:pPr>
        <w:pStyle w:val="23"/>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.科学技术支出（类）其他科学技术支出（款）其他科学技术支出（项）：指其他科学技术支出中除以上各种外用于科技方面的支出。</w:t>
      </w:r>
    </w:p>
    <w:p>
      <w:pPr>
        <w:pStyle w:val="23"/>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.社会保障和就业支出（类）行政事业单位离退休（款）机关事业单位基本养老保险缴费支出（项）:指反映机关事业单位实施养老保险制度由单位缴纳的基本养老保险费支出。</w:t>
      </w:r>
    </w:p>
    <w:p>
      <w:pPr>
        <w:pStyle w:val="23"/>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.社会保障和就业支出（类）行政事业单位离退休（款）机关事业单位职业年金缴费支出（项）:指反映机关事业单位实施养老保险制度由单位缴纳的职业年金支出。</w:t>
      </w:r>
    </w:p>
    <w:p>
      <w:pPr>
        <w:pStyle w:val="23"/>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.社会保障和就业支出（类）行政事业单位离退休（款）其他行政事业单位离退休支出（项）: 指反映行政事业单位开支的其他离退休支出。</w:t>
      </w:r>
    </w:p>
    <w:p>
      <w:pPr>
        <w:pStyle w:val="23"/>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rPr>
        <w:t>.医疗卫生与计划生育支出（类）公立医院（款）综合医院（项）: 指反映卫计计生委所属城市综合性医院开展医疗业务活动等方面的支出。</w:t>
      </w:r>
    </w:p>
    <w:p>
      <w:pPr>
        <w:pStyle w:val="23"/>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.医疗卫生与计划生育支出（类）行政事业单位医疗支出（款）事业单位医疗支出（项）: 指反映单位为职工缴纳的基本医疗保险费。</w:t>
      </w:r>
    </w:p>
    <w:p>
      <w:pPr>
        <w:pStyle w:val="23"/>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hint="eastAsia" w:ascii="仿宋_GB2312" w:eastAsia="仿宋_GB2312"/>
          <w:color w:val="auto"/>
          <w:sz w:val="32"/>
          <w:szCs w:val="32"/>
          <w:highlight w:val="none"/>
        </w:rPr>
        <w:t>.医疗卫生与计划生育支出（类）其他医疗卫生与计划生育支出（款）其他医疗卫生与计划生育支出（项）:指卫计委所属其他医疗卫生机构基本运行和开展业务活动的支出(其中包括医院物联网智慧护理管理系统等信息化专项支出);以及卫计委部门机动经费，主要用于部门增人增资、政策性因素等造成的人员经费不足。</w:t>
      </w:r>
    </w:p>
    <w:p>
      <w:pPr>
        <w:pStyle w:val="23"/>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.住房保障支出（类）住房改革支出（款）住房公积金（项）: 指反映单位按规定为职工缴纳的住房公积金。</w:t>
      </w:r>
    </w:p>
    <w:p>
      <w:pPr>
        <w:spacing w:line="600" w:lineRule="exact"/>
        <w:ind w:firstLine="640"/>
        <w:rPr>
          <w:rFonts w:ascii="仿宋" w:hAnsi="仿宋" w:eastAsia="仿宋"/>
          <w:b/>
          <w:sz w:val="32"/>
          <w:szCs w:val="32"/>
          <w:highlight w:val="none"/>
        </w:rPr>
      </w:pPr>
      <w:r>
        <w:rPr>
          <w:rFonts w:hint="eastAsia" w:ascii="仿宋" w:hAnsi="仿宋" w:eastAsia="仿宋"/>
          <w:b/>
          <w:sz w:val="32"/>
          <w:szCs w:val="32"/>
          <w:highlight w:val="none"/>
        </w:rPr>
        <w:t>（解释本单位决算报表中涉及的全部功能分类科目至项级，不涉及的科目请自行删除。请参照《</w:t>
      </w:r>
      <w:r>
        <w:rPr>
          <w:rFonts w:ascii="仿宋" w:hAnsi="仿宋" w:eastAsia="仿宋"/>
          <w:b/>
          <w:sz w:val="32"/>
          <w:szCs w:val="32"/>
          <w:highlight w:val="none"/>
        </w:rPr>
        <w:t>20</w:t>
      </w:r>
      <w:r>
        <w:rPr>
          <w:rFonts w:hint="eastAsia" w:ascii="仿宋" w:hAnsi="仿宋" w:eastAsia="仿宋"/>
          <w:b/>
          <w:sz w:val="32"/>
          <w:szCs w:val="32"/>
          <w:highlight w:val="none"/>
        </w:rPr>
        <w:t>2</w:t>
      </w:r>
      <w:r>
        <w:rPr>
          <w:rFonts w:hint="eastAsia" w:ascii="仿宋" w:hAnsi="仿宋" w:eastAsia="仿宋"/>
          <w:b/>
          <w:sz w:val="32"/>
          <w:szCs w:val="32"/>
          <w:highlight w:val="none"/>
          <w:lang w:val="en-US" w:eastAsia="zh-CN"/>
        </w:rPr>
        <w:t>2</w:t>
      </w:r>
      <w:r>
        <w:rPr>
          <w:rFonts w:hint="eastAsia" w:ascii="仿宋" w:hAnsi="仿宋" w:eastAsia="仿宋"/>
          <w:b/>
          <w:sz w:val="32"/>
          <w:szCs w:val="32"/>
          <w:highlight w:val="none"/>
        </w:rPr>
        <w:t>年政府收支分类科目》增减内容。）</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18</w:t>
      </w:r>
      <w:r>
        <w:rPr>
          <w:rFonts w:ascii="仿宋_GB2312" w:eastAsia="仿宋_GB2312"/>
          <w:sz w:val="32"/>
          <w:szCs w:val="32"/>
          <w:highlight w:val="none"/>
        </w:rPr>
        <w:t>.</w:t>
      </w:r>
      <w:r>
        <w:rPr>
          <w:rFonts w:hint="eastAsia" w:ascii="仿宋_GB2312" w:eastAsia="仿宋_GB2312"/>
          <w:sz w:val="32"/>
          <w:szCs w:val="32"/>
          <w:highlight w:val="none"/>
        </w:rPr>
        <w:t>基本支出：指为保障机构正常运转、完成日常工作任务而发生的人员支出和公用支出。</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19</w:t>
      </w:r>
      <w:r>
        <w:rPr>
          <w:rFonts w:ascii="仿宋_GB2312" w:eastAsia="仿宋_GB2312"/>
          <w:sz w:val="32"/>
          <w:szCs w:val="32"/>
          <w:highlight w:val="none"/>
        </w:rPr>
        <w:t>.</w:t>
      </w:r>
      <w:r>
        <w:rPr>
          <w:rFonts w:hint="eastAsia" w:ascii="仿宋_GB2312" w:eastAsia="仿宋_GB2312"/>
          <w:sz w:val="32"/>
          <w:szCs w:val="32"/>
          <w:highlight w:val="none"/>
        </w:rPr>
        <w:t>项目支出：指在基本支出之外为完成特定行政任务和事业发展目标所发生的支出。</w:t>
      </w:r>
      <w:r>
        <w:rPr>
          <w:rFonts w:ascii="仿宋_GB2312" w:eastAsia="仿宋_GB2312"/>
          <w:sz w:val="32"/>
          <w:szCs w:val="32"/>
          <w:highlight w:val="none"/>
        </w:rPr>
        <w:t xml:space="preserve"> </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20</w:t>
      </w:r>
      <w:r>
        <w:rPr>
          <w:rFonts w:ascii="仿宋_GB2312" w:eastAsia="仿宋_GB2312"/>
          <w:sz w:val="32"/>
          <w:szCs w:val="32"/>
          <w:highlight w:val="none"/>
        </w:rPr>
        <w:t>.</w:t>
      </w:r>
      <w:r>
        <w:rPr>
          <w:rFonts w:hint="eastAsia" w:ascii="仿宋_GB2312" w:eastAsia="仿宋_GB2312"/>
          <w:sz w:val="32"/>
          <w:szCs w:val="32"/>
          <w:highlight w:val="none"/>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hint="eastAsia" w:ascii="仿宋_GB2312" w:eastAsia="仿宋_GB2312" w:cs="黑体"/>
          <w:color w:val="auto"/>
          <w:sz w:val="32"/>
          <w:szCs w:val="32"/>
          <w:highlight w:val="none"/>
          <w:lang w:eastAsia="zh-CN"/>
        </w:rPr>
      </w:pPr>
      <w:r>
        <w:rPr>
          <w:rFonts w:hint="eastAsia" w:ascii="仿宋_GB2312" w:eastAsia="仿宋_GB2312"/>
          <w:color w:val="auto"/>
          <w:sz w:val="32"/>
          <w:szCs w:val="32"/>
          <w:highlight w:val="none"/>
          <w:lang w:val="en-US" w:eastAsia="zh-CN"/>
        </w:rPr>
        <w:t>22</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jc w:val="center"/>
        <w:rPr>
          <w:rStyle w:val="25"/>
          <w:rFonts w:ascii="黑体" w:hAnsi="黑体" w:eastAsia="黑体"/>
          <w:b w:val="0"/>
          <w:highlight w:val="none"/>
        </w:rPr>
      </w:pPr>
      <w:r>
        <w:rPr>
          <w:rFonts w:hint="eastAsia" w:ascii="仿宋" w:hAnsi="仿宋" w:eastAsia="仿宋"/>
          <w:b/>
          <w:sz w:val="32"/>
          <w:szCs w:val="32"/>
          <w:highlight w:val="none"/>
        </w:rPr>
        <w:t>（名词解释部分请根据各单位实际列支情况罗列，并根据本单位职责职能增减名词解释内容。）</w:t>
      </w:r>
      <w:bookmarkStart w:id="145" w:name="_Toc15377226"/>
      <w:r>
        <w:rPr>
          <w:rFonts w:ascii="宋体"/>
          <w:b/>
          <w:sz w:val="44"/>
          <w:szCs w:val="44"/>
          <w:highlight w:val="yellow"/>
        </w:rPr>
        <w:br w:type="page"/>
      </w:r>
      <w:bookmarkStart w:id="146" w:name="_Toc15396614"/>
      <w:r>
        <w:rPr>
          <w:rFonts w:hint="eastAsia" w:ascii="黑体" w:hAnsi="黑体" w:eastAsia="黑体"/>
          <w:sz w:val="44"/>
          <w:szCs w:val="44"/>
          <w:highlight w:val="none"/>
        </w:rPr>
        <w:t>第</w:t>
      </w:r>
      <w:r>
        <w:rPr>
          <w:rStyle w:val="25"/>
          <w:rFonts w:hint="eastAsia" w:ascii="黑体" w:hAnsi="黑体" w:eastAsia="黑体"/>
          <w:b w:val="0"/>
          <w:highlight w:val="none"/>
        </w:rPr>
        <w:t>四部分 附件</w:t>
      </w:r>
      <w:bookmarkEnd w:id="146"/>
    </w:p>
    <w:p>
      <w:pPr>
        <w:spacing w:line="600" w:lineRule="exact"/>
        <w:jc w:val="center"/>
        <w:outlineLvl w:val="0"/>
        <w:rPr>
          <w:rFonts w:hint="eastAsia" w:ascii="宋体" w:hAnsi="宋体" w:eastAsia="宋体" w:cs="宋体"/>
          <w:color w:val="auto"/>
          <w:kern w:val="0"/>
          <w:sz w:val="32"/>
          <w:szCs w:val="32"/>
          <w:highlight w:val="none"/>
          <w:lang w:val="en-US" w:eastAsia="zh-CN" w:bidi="ar-SA"/>
        </w:rPr>
      </w:pPr>
    </w:p>
    <w:p>
      <w:pPr>
        <w:spacing w:line="600" w:lineRule="exact"/>
        <w:jc w:val="center"/>
        <w:outlineLvl w:val="0"/>
        <w:rPr>
          <w:rFonts w:hint="eastAsia" w:ascii="宋体" w:hAnsi="宋体" w:eastAsia="宋体" w:cs="宋体"/>
          <w:color w:val="auto"/>
          <w:kern w:val="0"/>
          <w:sz w:val="32"/>
          <w:szCs w:val="32"/>
          <w:highlight w:val="none"/>
          <w:lang w:val="en-US" w:eastAsia="zh-CN" w:bidi="ar-SA"/>
        </w:rPr>
      </w:pPr>
      <w:bookmarkStart w:id="147" w:name="_Toc32373"/>
      <w:r>
        <w:rPr>
          <w:rFonts w:hint="eastAsia" w:ascii="宋体" w:hAnsi="宋体" w:eastAsia="宋体" w:cs="宋体"/>
          <w:color w:val="auto"/>
          <w:kern w:val="0"/>
          <w:sz w:val="32"/>
          <w:szCs w:val="32"/>
          <w:highlight w:val="none"/>
          <w:lang w:val="en-US" w:eastAsia="zh-CN" w:bidi="ar-SA"/>
        </w:rPr>
        <w:t>部门预算项目支出绩效自评表（2022年度）</w:t>
      </w:r>
      <w:bookmarkEnd w:id="147"/>
    </w:p>
    <w:p>
      <w:pPr>
        <w:spacing w:line="572" w:lineRule="exact"/>
        <w:jc w:val="left"/>
        <w:outlineLvl w:val="0"/>
        <w:rPr>
          <w:rFonts w:ascii="仿宋_GB2312" w:hAnsi="仿宋_GB2312" w:eastAsia="仿宋_GB2312" w:cs="仿宋_GB2312"/>
          <w:sz w:val="32"/>
          <w:szCs w:val="32"/>
          <w:highlight w:val="none"/>
        </w:rPr>
      </w:pPr>
    </w:p>
    <w:p>
      <w:pPr>
        <w:spacing w:line="600" w:lineRule="exact"/>
        <w:jc w:val="both"/>
        <w:outlineLvl w:val="0"/>
        <w:rPr>
          <w:rFonts w:ascii="黑体" w:hAnsi="黑体" w:eastAsia="黑体"/>
          <w:sz w:val="44"/>
          <w:szCs w:val="44"/>
          <w:highlight w:val="yellow"/>
        </w:rPr>
      </w:pPr>
      <w:bookmarkStart w:id="148" w:name="_Toc15396618"/>
    </w:p>
    <w:p>
      <w:pPr>
        <w:spacing w:line="600" w:lineRule="exact"/>
        <w:jc w:val="center"/>
        <w:outlineLvl w:val="0"/>
        <w:rPr>
          <w:rFonts w:ascii="黑体" w:hAnsi="黑体" w:eastAsia="黑体"/>
          <w:sz w:val="44"/>
          <w:szCs w:val="44"/>
          <w:highlight w:val="yellow"/>
        </w:rPr>
      </w:pPr>
    </w:p>
    <w:p>
      <w:pPr>
        <w:pStyle w:val="2"/>
        <w:rPr>
          <w:rFonts w:ascii="黑体" w:hAnsi="黑体" w:eastAsia="黑体"/>
          <w:sz w:val="44"/>
          <w:szCs w:val="44"/>
          <w:highlight w:val="yellow"/>
        </w:rPr>
      </w:pPr>
    </w:p>
    <w:p>
      <w:pPr>
        <w:pStyle w:val="2"/>
        <w:rPr>
          <w:rFonts w:ascii="黑体" w:hAnsi="黑体" w:eastAsia="黑体"/>
          <w:sz w:val="44"/>
          <w:szCs w:val="44"/>
          <w:highlight w:val="yellow"/>
        </w:rPr>
      </w:pPr>
    </w:p>
    <w:p>
      <w:pPr>
        <w:pStyle w:val="2"/>
        <w:rPr>
          <w:rFonts w:ascii="黑体" w:hAnsi="黑体" w:eastAsia="黑体"/>
          <w:sz w:val="44"/>
          <w:szCs w:val="44"/>
          <w:highlight w:val="yellow"/>
        </w:rPr>
      </w:pPr>
    </w:p>
    <w:p>
      <w:pPr>
        <w:pStyle w:val="2"/>
        <w:rPr>
          <w:rFonts w:ascii="黑体" w:hAnsi="黑体" w:eastAsia="黑体"/>
          <w:sz w:val="44"/>
          <w:szCs w:val="44"/>
          <w:highlight w:val="yellow"/>
        </w:rPr>
      </w:pPr>
    </w:p>
    <w:p>
      <w:pPr>
        <w:pStyle w:val="2"/>
        <w:rPr>
          <w:rFonts w:ascii="黑体" w:hAnsi="黑体" w:eastAsia="黑体"/>
          <w:sz w:val="44"/>
          <w:szCs w:val="44"/>
          <w:highlight w:val="yellow"/>
        </w:rPr>
      </w:pPr>
    </w:p>
    <w:p>
      <w:pPr>
        <w:pStyle w:val="2"/>
        <w:rPr>
          <w:rFonts w:ascii="黑体" w:hAnsi="黑体" w:eastAsia="黑体"/>
          <w:sz w:val="44"/>
          <w:szCs w:val="44"/>
          <w:highlight w:val="yellow"/>
        </w:rPr>
      </w:pPr>
    </w:p>
    <w:p>
      <w:pPr>
        <w:pStyle w:val="2"/>
        <w:rPr>
          <w:rFonts w:ascii="黑体" w:hAnsi="黑体" w:eastAsia="黑体"/>
          <w:sz w:val="44"/>
          <w:szCs w:val="44"/>
          <w:highlight w:val="yellow"/>
        </w:rPr>
      </w:pPr>
    </w:p>
    <w:p>
      <w:pPr>
        <w:pStyle w:val="2"/>
        <w:rPr>
          <w:rFonts w:ascii="黑体" w:hAnsi="黑体" w:eastAsia="黑体"/>
          <w:sz w:val="44"/>
          <w:szCs w:val="44"/>
          <w:highlight w:val="yellow"/>
        </w:rPr>
      </w:pPr>
    </w:p>
    <w:p>
      <w:pPr>
        <w:pStyle w:val="2"/>
        <w:rPr>
          <w:rFonts w:ascii="黑体" w:hAnsi="黑体" w:eastAsia="黑体"/>
          <w:sz w:val="44"/>
          <w:szCs w:val="44"/>
          <w:highlight w:val="yellow"/>
        </w:rPr>
      </w:pPr>
    </w:p>
    <w:p>
      <w:pPr>
        <w:pStyle w:val="2"/>
        <w:rPr>
          <w:rFonts w:ascii="黑体" w:hAnsi="黑体" w:eastAsia="黑体"/>
          <w:sz w:val="44"/>
          <w:szCs w:val="44"/>
          <w:highlight w:val="yellow"/>
        </w:rPr>
      </w:pPr>
    </w:p>
    <w:p>
      <w:pPr>
        <w:pStyle w:val="2"/>
        <w:rPr>
          <w:rFonts w:ascii="黑体" w:hAnsi="黑体" w:eastAsia="黑体"/>
          <w:sz w:val="44"/>
          <w:szCs w:val="44"/>
          <w:highlight w:val="yellow"/>
        </w:rPr>
      </w:pPr>
    </w:p>
    <w:p>
      <w:pPr>
        <w:pStyle w:val="2"/>
        <w:rPr>
          <w:rFonts w:ascii="黑体" w:hAnsi="黑体" w:eastAsia="黑体"/>
          <w:sz w:val="44"/>
          <w:szCs w:val="44"/>
          <w:highlight w:val="yellow"/>
        </w:rPr>
      </w:pPr>
    </w:p>
    <w:p>
      <w:pPr>
        <w:pStyle w:val="2"/>
        <w:rPr>
          <w:rFonts w:ascii="黑体" w:hAnsi="黑体" w:eastAsia="黑体"/>
          <w:sz w:val="44"/>
          <w:szCs w:val="44"/>
          <w:highlight w:val="yellow"/>
        </w:rPr>
      </w:pPr>
    </w:p>
    <w:p>
      <w:pPr>
        <w:pStyle w:val="2"/>
        <w:rPr>
          <w:rFonts w:ascii="黑体" w:hAnsi="黑体" w:eastAsia="黑体"/>
          <w:sz w:val="44"/>
          <w:szCs w:val="44"/>
          <w:highlight w:val="yellow"/>
        </w:rPr>
      </w:pPr>
    </w:p>
    <w:p>
      <w:pPr>
        <w:spacing w:line="600" w:lineRule="exact"/>
        <w:jc w:val="center"/>
        <w:outlineLvl w:val="0"/>
        <w:rPr>
          <w:rFonts w:ascii="仿宋" w:hAnsi="仿宋" w:eastAsia="仿宋"/>
          <w:highlight w:val="none"/>
        </w:rPr>
      </w:pPr>
      <w:bookmarkStart w:id="149" w:name="_Toc9357"/>
      <w:bookmarkStart w:id="150" w:name="_Toc19435"/>
      <w:r>
        <w:rPr>
          <w:rFonts w:hint="eastAsia" w:ascii="黑体" w:hAnsi="黑体" w:eastAsia="黑体"/>
          <w:sz w:val="44"/>
          <w:szCs w:val="44"/>
          <w:highlight w:val="none"/>
        </w:rPr>
        <w:t>第</w:t>
      </w:r>
      <w:r>
        <w:rPr>
          <w:rStyle w:val="25"/>
          <w:rFonts w:hint="eastAsia" w:ascii="黑体" w:hAnsi="黑体" w:eastAsia="黑体"/>
          <w:b w:val="0"/>
          <w:highlight w:val="none"/>
        </w:rPr>
        <w:t>五部分 附表</w:t>
      </w:r>
      <w:bookmarkEnd w:id="145"/>
      <w:bookmarkEnd w:id="148"/>
      <w:bookmarkEnd w:id="149"/>
      <w:bookmarkEnd w:id="150"/>
      <w:bookmarkStart w:id="151" w:name="_Toc15396619"/>
    </w:p>
    <w:p>
      <w:pPr>
        <w:pStyle w:val="4"/>
        <w:rPr>
          <w:rFonts w:ascii="仿宋" w:hAnsi="仿宋" w:eastAsia="仿宋"/>
          <w:highlight w:val="none"/>
        </w:rPr>
      </w:pPr>
      <w:bookmarkStart w:id="152" w:name="_Toc4328"/>
      <w:bookmarkStart w:id="153" w:name="_Toc14699"/>
      <w:r>
        <w:rPr>
          <w:rFonts w:hint="eastAsia" w:ascii="仿宋" w:hAnsi="仿宋" w:eastAsia="仿宋"/>
          <w:b w:val="0"/>
          <w:highlight w:val="none"/>
        </w:rPr>
        <w:t>一、收</w:t>
      </w:r>
      <w:r>
        <w:rPr>
          <w:rStyle w:val="26"/>
          <w:rFonts w:hint="eastAsia" w:ascii="仿宋" w:hAnsi="仿宋" w:eastAsia="仿宋"/>
          <w:b w:val="0"/>
          <w:bCs w:val="0"/>
          <w:highlight w:val="none"/>
        </w:rPr>
        <w:t>入支出决算总表</w:t>
      </w:r>
      <w:bookmarkEnd w:id="151"/>
      <w:bookmarkEnd w:id="152"/>
      <w:bookmarkEnd w:id="153"/>
    </w:p>
    <w:p>
      <w:pPr>
        <w:pStyle w:val="4"/>
        <w:rPr>
          <w:rFonts w:ascii="仿宋" w:hAnsi="仿宋" w:eastAsia="仿宋"/>
          <w:highlight w:val="none"/>
        </w:rPr>
      </w:pPr>
      <w:bookmarkStart w:id="154" w:name="_Toc7005"/>
      <w:bookmarkStart w:id="155" w:name="_Toc15396620"/>
      <w:bookmarkStart w:id="156" w:name="_Toc2424"/>
      <w:r>
        <w:rPr>
          <w:rFonts w:hint="eastAsia" w:ascii="仿宋" w:hAnsi="仿宋" w:eastAsia="仿宋"/>
          <w:b w:val="0"/>
          <w:highlight w:val="none"/>
        </w:rPr>
        <w:t>二、收</w:t>
      </w:r>
      <w:r>
        <w:rPr>
          <w:rStyle w:val="26"/>
          <w:rFonts w:hint="eastAsia" w:ascii="仿宋" w:hAnsi="仿宋" w:eastAsia="仿宋"/>
          <w:b w:val="0"/>
          <w:bCs w:val="0"/>
          <w:highlight w:val="none"/>
        </w:rPr>
        <w:t>入决算表</w:t>
      </w:r>
      <w:bookmarkEnd w:id="154"/>
      <w:bookmarkEnd w:id="155"/>
      <w:bookmarkEnd w:id="156"/>
    </w:p>
    <w:p>
      <w:pPr>
        <w:pStyle w:val="4"/>
        <w:rPr>
          <w:rFonts w:ascii="仿宋" w:hAnsi="仿宋" w:eastAsia="仿宋"/>
          <w:highlight w:val="none"/>
        </w:rPr>
      </w:pPr>
      <w:bookmarkStart w:id="157" w:name="_Toc15396621"/>
      <w:bookmarkStart w:id="158" w:name="_Toc19613"/>
      <w:bookmarkStart w:id="159" w:name="_Toc16664"/>
      <w:r>
        <w:rPr>
          <w:rStyle w:val="26"/>
          <w:rFonts w:hint="eastAsia" w:ascii="仿宋" w:hAnsi="仿宋" w:eastAsia="仿宋"/>
          <w:b w:val="0"/>
          <w:bCs w:val="0"/>
          <w:highlight w:val="none"/>
        </w:rPr>
        <w:t>三、</w:t>
      </w:r>
      <w:r>
        <w:rPr>
          <w:rFonts w:hint="eastAsia" w:ascii="仿宋" w:hAnsi="仿宋" w:eastAsia="仿宋"/>
          <w:b w:val="0"/>
          <w:highlight w:val="none"/>
        </w:rPr>
        <w:t>支</w:t>
      </w:r>
      <w:r>
        <w:rPr>
          <w:rStyle w:val="26"/>
          <w:rFonts w:hint="eastAsia" w:ascii="仿宋" w:hAnsi="仿宋" w:eastAsia="仿宋"/>
          <w:b w:val="0"/>
          <w:bCs w:val="0"/>
          <w:highlight w:val="none"/>
        </w:rPr>
        <w:t>出决算表</w:t>
      </w:r>
      <w:bookmarkEnd w:id="157"/>
      <w:bookmarkEnd w:id="158"/>
      <w:bookmarkEnd w:id="159"/>
    </w:p>
    <w:p>
      <w:pPr>
        <w:pStyle w:val="4"/>
        <w:rPr>
          <w:rFonts w:ascii="仿宋" w:hAnsi="仿宋" w:eastAsia="仿宋"/>
          <w:b w:val="0"/>
          <w:highlight w:val="none"/>
        </w:rPr>
      </w:pPr>
      <w:bookmarkStart w:id="160" w:name="_Toc15396622"/>
      <w:bookmarkStart w:id="161" w:name="_Toc18802"/>
      <w:bookmarkStart w:id="162" w:name="_Toc3730"/>
      <w:r>
        <w:rPr>
          <w:rStyle w:val="26"/>
          <w:rFonts w:hint="eastAsia" w:ascii="仿宋" w:hAnsi="仿宋" w:eastAsia="仿宋"/>
          <w:b w:val="0"/>
          <w:bCs w:val="0"/>
          <w:highlight w:val="none"/>
        </w:rPr>
        <w:t>四、</w:t>
      </w:r>
      <w:r>
        <w:rPr>
          <w:rFonts w:hint="eastAsia" w:ascii="仿宋" w:hAnsi="仿宋" w:eastAsia="仿宋"/>
          <w:b w:val="0"/>
          <w:highlight w:val="none"/>
        </w:rPr>
        <w:t>财</w:t>
      </w:r>
      <w:r>
        <w:rPr>
          <w:rStyle w:val="26"/>
          <w:rFonts w:hint="eastAsia" w:ascii="仿宋" w:hAnsi="仿宋" w:eastAsia="仿宋"/>
          <w:b w:val="0"/>
          <w:bCs w:val="0"/>
          <w:highlight w:val="none"/>
        </w:rPr>
        <w:t>政拨款收入支出决算总表</w:t>
      </w:r>
      <w:bookmarkEnd w:id="160"/>
      <w:bookmarkEnd w:id="161"/>
      <w:bookmarkEnd w:id="162"/>
    </w:p>
    <w:p>
      <w:pPr>
        <w:pStyle w:val="4"/>
        <w:rPr>
          <w:rStyle w:val="26"/>
          <w:rFonts w:ascii="仿宋" w:hAnsi="仿宋" w:eastAsia="仿宋"/>
          <w:b w:val="0"/>
          <w:bCs w:val="0"/>
          <w:highlight w:val="none"/>
        </w:rPr>
      </w:pPr>
      <w:bookmarkStart w:id="163" w:name="_Toc15396623"/>
      <w:bookmarkStart w:id="164" w:name="_Toc23008"/>
      <w:bookmarkStart w:id="165" w:name="_Toc17923"/>
      <w:r>
        <w:rPr>
          <w:rStyle w:val="26"/>
          <w:rFonts w:hint="eastAsia" w:ascii="仿宋" w:hAnsi="仿宋" w:eastAsia="仿宋"/>
          <w:b w:val="0"/>
          <w:bCs w:val="0"/>
          <w:highlight w:val="none"/>
        </w:rPr>
        <w:t>五、</w:t>
      </w:r>
      <w:r>
        <w:rPr>
          <w:rFonts w:hint="eastAsia" w:ascii="仿宋" w:hAnsi="仿宋" w:eastAsia="仿宋"/>
          <w:b w:val="0"/>
          <w:highlight w:val="none"/>
        </w:rPr>
        <w:t>财</w:t>
      </w:r>
      <w:r>
        <w:rPr>
          <w:rStyle w:val="26"/>
          <w:rFonts w:hint="eastAsia" w:ascii="仿宋" w:hAnsi="仿宋" w:eastAsia="仿宋"/>
          <w:b w:val="0"/>
          <w:bCs w:val="0"/>
          <w:highlight w:val="none"/>
        </w:rPr>
        <w:t>政拨款支出决算明细表</w:t>
      </w:r>
      <w:bookmarkEnd w:id="163"/>
      <w:bookmarkEnd w:id="164"/>
      <w:bookmarkEnd w:id="165"/>
      <w:bookmarkStart w:id="166" w:name="_Toc15396624"/>
    </w:p>
    <w:p>
      <w:pPr>
        <w:pStyle w:val="4"/>
        <w:rPr>
          <w:rFonts w:ascii="仿宋" w:hAnsi="仿宋" w:eastAsia="仿宋"/>
          <w:highlight w:val="none"/>
        </w:rPr>
      </w:pPr>
      <w:bookmarkStart w:id="167" w:name="_Toc10689"/>
      <w:bookmarkStart w:id="168" w:name="_Toc26449"/>
      <w:r>
        <w:rPr>
          <w:rStyle w:val="26"/>
          <w:rFonts w:hint="eastAsia" w:ascii="仿宋" w:hAnsi="仿宋" w:eastAsia="仿宋"/>
          <w:b w:val="0"/>
          <w:bCs w:val="0"/>
          <w:highlight w:val="none"/>
        </w:rPr>
        <w:t>六、</w:t>
      </w:r>
      <w:r>
        <w:rPr>
          <w:rFonts w:hint="eastAsia" w:ascii="仿宋" w:hAnsi="仿宋" w:eastAsia="仿宋"/>
          <w:b w:val="0"/>
          <w:highlight w:val="none"/>
        </w:rPr>
        <w:t>一</w:t>
      </w:r>
      <w:r>
        <w:rPr>
          <w:rStyle w:val="26"/>
          <w:rFonts w:hint="eastAsia" w:ascii="仿宋" w:hAnsi="仿宋" w:eastAsia="仿宋"/>
          <w:b w:val="0"/>
          <w:bCs w:val="0"/>
          <w:highlight w:val="none"/>
        </w:rPr>
        <w:t>般公共预算财政拨款支出决算表</w:t>
      </w:r>
      <w:bookmarkEnd w:id="166"/>
      <w:bookmarkEnd w:id="167"/>
      <w:bookmarkEnd w:id="168"/>
    </w:p>
    <w:p>
      <w:pPr>
        <w:pStyle w:val="4"/>
        <w:rPr>
          <w:rFonts w:ascii="仿宋" w:hAnsi="仿宋" w:eastAsia="仿宋"/>
          <w:highlight w:val="none"/>
        </w:rPr>
      </w:pPr>
      <w:bookmarkStart w:id="169" w:name="_Toc15396625"/>
      <w:bookmarkStart w:id="170" w:name="_Toc13522"/>
      <w:bookmarkStart w:id="171" w:name="_Toc26747"/>
      <w:r>
        <w:rPr>
          <w:rStyle w:val="26"/>
          <w:rFonts w:hint="eastAsia" w:ascii="仿宋" w:hAnsi="仿宋" w:eastAsia="仿宋"/>
          <w:b w:val="0"/>
          <w:bCs w:val="0"/>
          <w:highlight w:val="none"/>
        </w:rPr>
        <w:t>七、</w:t>
      </w:r>
      <w:r>
        <w:rPr>
          <w:rFonts w:hint="eastAsia" w:ascii="仿宋" w:hAnsi="仿宋" w:eastAsia="仿宋"/>
          <w:b w:val="0"/>
          <w:highlight w:val="none"/>
        </w:rPr>
        <w:t>一</w:t>
      </w:r>
      <w:r>
        <w:rPr>
          <w:rStyle w:val="26"/>
          <w:rFonts w:hint="eastAsia" w:ascii="仿宋" w:hAnsi="仿宋" w:eastAsia="仿宋"/>
          <w:b w:val="0"/>
          <w:bCs w:val="0"/>
          <w:highlight w:val="none"/>
        </w:rPr>
        <w:t>般公共预算财政拨款支出决算明细表</w:t>
      </w:r>
      <w:bookmarkEnd w:id="169"/>
      <w:bookmarkEnd w:id="170"/>
      <w:bookmarkEnd w:id="171"/>
    </w:p>
    <w:p>
      <w:pPr>
        <w:pStyle w:val="4"/>
        <w:rPr>
          <w:rFonts w:ascii="仿宋" w:hAnsi="仿宋" w:eastAsia="仿宋"/>
          <w:highlight w:val="none"/>
        </w:rPr>
      </w:pPr>
      <w:bookmarkStart w:id="172" w:name="_Toc26870"/>
      <w:bookmarkStart w:id="173" w:name="_Toc15396626"/>
      <w:bookmarkStart w:id="174" w:name="_Toc6858"/>
      <w:r>
        <w:rPr>
          <w:rStyle w:val="26"/>
          <w:rFonts w:hint="eastAsia" w:ascii="仿宋" w:hAnsi="仿宋" w:eastAsia="仿宋"/>
          <w:b w:val="0"/>
          <w:bCs w:val="0"/>
          <w:highlight w:val="none"/>
        </w:rPr>
        <w:t>八、</w:t>
      </w:r>
      <w:r>
        <w:rPr>
          <w:rFonts w:hint="eastAsia" w:ascii="仿宋" w:hAnsi="仿宋" w:eastAsia="仿宋"/>
          <w:b w:val="0"/>
          <w:highlight w:val="none"/>
        </w:rPr>
        <w:t>一</w:t>
      </w:r>
      <w:r>
        <w:rPr>
          <w:rStyle w:val="26"/>
          <w:rFonts w:hint="eastAsia" w:ascii="仿宋" w:hAnsi="仿宋" w:eastAsia="仿宋"/>
          <w:b w:val="0"/>
          <w:bCs w:val="0"/>
          <w:highlight w:val="none"/>
        </w:rPr>
        <w:t>般公共预算财政拨款基本支出决算表</w:t>
      </w:r>
      <w:bookmarkEnd w:id="172"/>
      <w:bookmarkEnd w:id="173"/>
      <w:bookmarkEnd w:id="174"/>
    </w:p>
    <w:p>
      <w:pPr>
        <w:pStyle w:val="4"/>
        <w:rPr>
          <w:rFonts w:ascii="仿宋" w:hAnsi="仿宋" w:eastAsia="仿宋"/>
          <w:highlight w:val="none"/>
        </w:rPr>
      </w:pPr>
      <w:bookmarkStart w:id="175" w:name="_Toc15396627"/>
      <w:bookmarkStart w:id="176" w:name="_Toc15409"/>
      <w:bookmarkStart w:id="177" w:name="_Toc2727"/>
      <w:r>
        <w:rPr>
          <w:rStyle w:val="26"/>
          <w:rFonts w:hint="eastAsia" w:ascii="仿宋" w:hAnsi="仿宋" w:eastAsia="仿宋"/>
          <w:b w:val="0"/>
          <w:bCs w:val="0"/>
          <w:highlight w:val="none"/>
        </w:rPr>
        <w:t>九、</w:t>
      </w:r>
      <w:r>
        <w:rPr>
          <w:rFonts w:hint="eastAsia" w:ascii="仿宋" w:hAnsi="仿宋" w:eastAsia="仿宋"/>
          <w:b w:val="0"/>
          <w:highlight w:val="none"/>
        </w:rPr>
        <w:t>一</w:t>
      </w:r>
      <w:r>
        <w:rPr>
          <w:rStyle w:val="26"/>
          <w:rFonts w:hint="eastAsia" w:ascii="仿宋" w:hAnsi="仿宋" w:eastAsia="仿宋"/>
          <w:b w:val="0"/>
          <w:bCs w:val="0"/>
          <w:highlight w:val="none"/>
        </w:rPr>
        <w:t>般公共预算财政拨款项目支出决算表</w:t>
      </w:r>
      <w:bookmarkEnd w:id="175"/>
      <w:bookmarkEnd w:id="176"/>
      <w:bookmarkEnd w:id="177"/>
    </w:p>
    <w:p>
      <w:pPr>
        <w:pStyle w:val="4"/>
        <w:rPr>
          <w:rStyle w:val="26"/>
          <w:rFonts w:hint="eastAsia" w:ascii="仿宋" w:hAnsi="仿宋" w:eastAsia="仿宋"/>
          <w:b w:val="0"/>
          <w:bCs w:val="0"/>
          <w:highlight w:val="none"/>
        </w:rPr>
      </w:pPr>
      <w:bookmarkStart w:id="178" w:name="_Toc28193"/>
      <w:bookmarkStart w:id="179" w:name="_Toc15396628"/>
      <w:bookmarkStart w:id="180" w:name="_Toc25723"/>
      <w:r>
        <w:rPr>
          <w:rStyle w:val="26"/>
          <w:rFonts w:hint="eastAsia" w:ascii="仿宋" w:hAnsi="仿宋" w:eastAsia="仿宋"/>
          <w:b w:val="0"/>
          <w:bCs w:val="0"/>
          <w:highlight w:val="none"/>
        </w:rPr>
        <w:t>十、</w:t>
      </w:r>
      <w:r>
        <w:rPr>
          <w:rFonts w:hint="eastAsia" w:ascii="仿宋" w:hAnsi="仿宋" w:eastAsia="仿宋"/>
          <w:b w:val="0"/>
          <w:highlight w:val="none"/>
        </w:rPr>
        <w:t>政</w:t>
      </w:r>
      <w:r>
        <w:rPr>
          <w:rStyle w:val="26"/>
          <w:rFonts w:hint="eastAsia" w:ascii="仿宋" w:hAnsi="仿宋" w:eastAsia="仿宋"/>
          <w:b w:val="0"/>
          <w:bCs w:val="0"/>
          <w:highlight w:val="none"/>
        </w:rPr>
        <w:t>府性基金预算财政拨款收入支出决算表</w:t>
      </w:r>
      <w:bookmarkEnd w:id="178"/>
    </w:p>
    <w:bookmarkEnd w:id="179"/>
    <w:bookmarkEnd w:id="180"/>
    <w:p>
      <w:pPr>
        <w:pStyle w:val="4"/>
        <w:rPr>
          <w:rFonts w:ascii="仿宋" w:hAnsi="仿宋" w:eastAsia="仿宋"/>
          <w:highlight w:val="none"/>
        </w:rPr>
      </w:pPr>
      <w:bookmarkStart w:id="181" w:name="_Toc29406"/>
      <w:bookmarkStart w:id="182" w:name="_Toc15396629"/>
      <w:bookmarkStart w:id="183" w:name="_Toc5175"/>
      <w:r>
        <w:rPr>
          <w:rStyle w:val="26"/>
          <w:rFonts w:hint="eastAsia" w:ascii="仿宋" w:hAnsi="仿宋" w:eastAsia="仿宋"/>
          <w:b w:val="0"/>
          <w:bCs w:val="0"/>
          <w:highlight w:val="none"/>
        </w:rPr>
        <w:t>十一、</w:t>
      </w:r>
      <w:bookmarkEnd w:id="181"/>
      <w:bookmarkEnd w:id="182"/>
      <w:r>
        <w:rPr>
          <w:rFonts w:hint="eastAsia" w:ascii="仿宋" w:hAnsi="仿宋" w:eastAsia="仿宋"/>
          <w:b w:val="0"/>
          <w:highlight w:val="none"/>
        </w:rPr>
        <w:t>国</w:t>
      </w:r>
      <w:r>
        <w:rPr>
          <w:rStyle w:val="26"/>
          <w:rFonts w:hint="eastAsia" w:ascii="仿宋" w:hAnsi="仿宋" w:eastAsia="仿宋"/>
          <w:b w:val="0"/>
          <w:bCs w:val="0"/>
          <w:highlight w:val="none"/>
        </w:rPr>
        <w:t>有资本经营预算财政拨款收入支出决算表</w:t>
      </w:r>
      <w:bookmarkEnd w:id="183"/>
    </w:p>
    <w:p>
      <w:pPr>
        <w:pStyle w:val="4"/>
        <w:rPr>
          <w:rStyle w:val="26"/>
          <w:rFonts w:hint="eastAsia" w:ascii="仿宋" w:hAnsi="仿宋" w:eastAsia="仿宋"/>
          <w:b w:val="0"/>
          <w:bCs w:val="0"/>
          <w:highlight w:val="none"/>
        </w:rPr>
      </w:pPr>
      <w:bookmarkStart w:id="184" w:name="_Toc13145"/>
      <w:bookmarkStart w:id="185" w:name="_Toc15396630"/>
      <w:bookmarkStart w:id="186" w:name="_Toc10844"/>
      <w:r>
        <w:rPr>
          <w:rStyle w:val="26"/>
          <w:rFonts w:hint="eastAsia" w:ascii="仿宋" w:hAnsi="仿宋" w:eastAsia="仿宋"/>
          <w:b w:val="0"/>
          <w:bCs w:val="0"/>
          <w:highlight w:val="none"/>
        </w:rPr>
        <w:t>十二、国有资本经营预算财政拨款支出决算表</w:t>
      </w:r>
      <w:bookmarkEnd w:id="184"/>
    </w:p>
    <w:bookmarkEnd w:id="185"/>
    <w:bookmarkEnd w:id="186"/>
    <w:p>
      <w:pPr>
        <w:pStyle w:val="4"/>
        <w:rPr>
          <w:rFonts w:eastAsia="仿宋"/>
          <w:highlight w:val="yellow"/>
        </w:rPr>
      </w:pPr>
      <w:bookmarkStart w:id="187" w:name="_Toc15396631"/>
      <w:bookmarkStart w:id="188" w:name="_Toc12961"/>
      <w:bookmarkStart w:id="189" w:name="_Toc22775"/>
      <w:r>
        <w:rPr>
          <w:rStyle w:val="26"/>
          <w:rFonts w:hint="eastAsia" w:ascii="仿宋" w:hAnsi="仿宋" w:eastAsia="仿宋"/>
          <w:b w:val="0"/>
          <w:bCs w:val="0"/>
          <w:highlight w:val="none"/>
        </w:rPr>
        <w:t>十三、</w:t>
      </w:r>
      <w:bookmarkEnd w:id="187"/>
      <w:bookmarkEnd w:id="188"/>
      <w:r>
        <w:rPr>
          <w:rStyle w:val="26"/>
          <w:rFonts w:hint="eastAsia" w:ascii="仿宋" w:hAnsi="仿宋" w:eastAsia="仿宋"/>
          <w:b w:val="0"/>
          <w:bCs w:val="0"/>
          <w:highlight w:val="none"/>
        </w:rPr>
        <w:t>财政拨款“三公”经费支出决算表</w:t>
      </w:r>
      <w:bookmarkEnd w:id="189"/>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1B5D0A-57FF-46C7-9D48-171AF606EE8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embedRegular r:id="rId2" w:fontKey="{00F451C6-251D-407F-A027-B693AB3D3BEB}"/>
  </w:font>
  <w:font w:name="仿宋_GB2312">
    <w:altName w:val="仿宋"/>
    <w:panose1 w:val="00000000000000000000"/>
    <w:charset w:val="86"/>
    <w:family w:val="modern"/>
    <w:pitch w:val="default"/>
    <w:sig w:usb0="00000000" w:usb1="00000000" w:usb2="00000000" w:usb3="00000000" w:csb0="00040000" w:csb1="00000000"/>
    <w:embedRegular r:id="rId3" w:fontKey="{D3332748-AC68-4A10-8BC9-6D2B777729D4}"/>
  </w:font>
  <w:font w:name="仿宋">
    <w:panose1 w:val="02010609060101010101"/>
    <w:charset w:val="86"/>
    <w:family w:val="auto"/>
    <w:pitch w:val="default"/>
    <w:sig w:usb0="800002BF" w:usb1="38CF7CFA" w:usb2="00000016" w:usb3="00000000" w:csb0="00040001" w:csb1="00000000"/>
    <w:embedRegular r:id="rId4" w:fontKey="{137C86C9-F11C-4341-8501-EB281CE6F528}"/>
  </w:font>
  <w:font w:name="方正小标宋简体">
    <w:panose1 w:val="02000000000000000000"/>
    <w:charset w:val="86"/>
    <w:family w:val="script"/>
    <w:pitch w:val="default"/>
    <w:sig w:usb0="00000001" w:usb1="08000000" w:usb2="00000000" w:usb3="00000000" w:csb0="00040000" w:csb1="00000000"/>
    <w:embedRegular r:id="rId5" w:fontKey="{4DC17991-D1DF-4353-8ECB-409DF8286E1C}"/>
  </w:font>
  <w:font w:name="微软雅黑">
    <w:panose1 w:val="020B0503020204020204"/>
    <w:charset w:val="86"/>
    <w:family w:val="auto"/>
    <w:pitch w:val="default"/>
    <w:sig w:usb0="80000287" w:usb1="280F3C52" w:usb2="00000016" w:usb3="00000000" w:csb0="0004001F" w:csb1="00000000"/>
    <w:embedRegular r:id="rId6" w:fontKey="{BEBE03E3-DBA9-4341-A5FE-AB9E14763C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17</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4D9C75E2"/>
    <w:multiLevelType w:val="singleLevel"/>
    <w:tmpl w:val="4D9C75E2"/>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lOWViN2EwYmNjYTRhY2RjNTNlYzc2YjQ2MmM0Y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4D22"/>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D54BF"/>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8A58CB"/>
    <w:rsid w:val="07BA1C15"/>
    <w:rsid w:val="0A2032A3"/>
    <w:rsid w:val="0B8A37D8"/>
    <w:rsid w:val="10C055FF"/>
    <w:rsid w:val="118107EC"/>
    <w:rsid w:val="11DD6519"/>
    <w:rsid w:val="13174EF0"/>
    <w:rsid w:val="16BB723D"/>
    <w:rsid w:val="18015F3F"/>
    <w:rsid w:val="19B0053E"/>
    <w:rsid w:val="1BC9089D"/>
    <w:rsid w:val="1BE8440E"/>
    <w:rsid w:val="1D155CEE"/>
    <w:rsid w:val="1D3F5A31"/>
    <w:rsid w:val="1D7321B3"/>
    <w:rsid w:val="20F57F95"/>
    <w:rsid w:val="21F66144"/>
    <w:rsid w:val="22EF1CCD"/>
    <w:rsid w:val="234E7E7B"/>
    <w:rsid w:val="240371BF"/>
    <w:rsid w:val="25C741E6"/>
    <w:rsid w:val="27842671"/>
    <w:rsid w:val="289E0834"/>
    <w:rsid w:val="29F63D18"/>
    <w:rsid w:val="29FD04D3"/>
    <w:rsid w:val="2ABE7A3E"/>
    <w:rsid w:val="2EFA178C"/>
    <w:rsid w:val="2FE71C44"/>
    <w:rsid w:val="30B46D73"/>
    <w:rsid w:val="319F7F4E"/>
    <w:rsid w:val="39AE70AB"/>
    <w:rsid w:val="3C0C0783"/>
    <w:rsid w:val="3C4C0B25"/>
    <w:rsid w:val="3D98044D"/>
    <w:rsid w:val="3F9F3A96"/>
    <w:rsid w:val="41032072"/>
    <w:rsid w:val="493C27E9"/>
    <w:rsid w:val="496F39ED"/>
    <w:rsid w:val="499A72FA"/>
    <w:rsid w:val="49FF41D3"/>
    <w:rsid w:val="4BE068DB"/>
    <w:rsid w:val="4BF6002B"/>
    <w:rsid w:val="4ECE2238"/>
    <w:rsid w:val="4F5D053B"/>
    <w:rsid w:val="51DB4B86"/>
    <w:rsid w:val="52501699"/>
    <w:rsid w:val="52A1794C"/>
    <w:rsid w:val="55333C3E"/>
    <w:rsid w:val="5627143F"/>
    <w:rsid w:val="5A9A500E"/>
    <w:rsid w:val="64727BA3"/>
    <w:rsid w:val="64CA39A1"/>
    <w:rsid w:val="6C4A05C8"/>
    <w:rsid w:val="6E522010"/>
    <w:rsid w:val="705B61C5"/>
    <w:rsid w:val="72734D90"/>
    <w:rsid w:val="76150D56"/>
    <w:rsid w:val="783655E8"/>
    <w:rsid w:val="79E7B28D"/>
    <w:rsid w:val="7A075FF5"/>
    <w:rsid w:val="7AF97A75"/>
    <w:rsid w:val="7C29244D"/>
    <w:rsid w:val="7CD12A58"/>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LENOVO\Desktop\&#24180;&#24230;&#19978;&#25253;&#36164;&#26009;\&#39044;&#12289;&#20915;&#31639;&#20844;&#24320;&#36164;&#26009;\&#24030;&#19968;&#21307;&#38498;\&#36164;&#26009;\&#32534;&#25253;&#20915;&#31639;&#35828;&#26126;&#33609;&#31295;&#21333;.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LENOVO\Desktop\&#24037;&#20316;&#3180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[编报决算说明草稿单.xlsx]Sheet1!$N$2</c:f>
              <c:strCache>
                <c:ptCount val="1"/>
                <c:pt idx="0">
                  <c:v>收、支总计</c:v>
                </c:pt>
              </c:strCache>
            </c:strRef>
          </c:tx>
          <c:spPr>
            <a:solidFill>
              <a:schemeClr val="accent2"/>
            </a:solidFill>
            <a:ln>
              <a:noFill/>
            </a:ln>
            <a:effectLst/>
          </c:spPr>
          <c:invertIfNegative val="0"/>
          <c:dPt>
            <c:idx val="1"/>
            <c:invertIfNegative val="0"/>
            <c:bubble3D val="0"/>
            <c:spPr>
              <a:solidFill>
                <a:schemeClr val="accent1"/>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[编报决算说明草稿单.xlsx]Sheet1!$M$3:$M$4</c:f>
              <c:strCache>
                <c:ptCount val="2"/>
                <c:pt idx="0">
                  <c:v>2021年</c:v>
                </c:pt>
                <c:pt idx="1">
                  <c:v>2022年</c:v>
                </c:pt>
              </c:strCache>
            </c:strRef>
          </c:cat>
          <c:val>
            <c:numRef>
              <c:f>[编报决算说明草稿单.xlsx]Sheet1!$N$3:$N$4</c:f>
              <c:numCache>
                <c:formatCode>General</c:formatCode>
                <c:ptCount val="2"/>
                <c:pt idx="0">
                  <c:v>127255.35</c:v>
                </c:pt>
                <c:pt idx="1">
                  <c:v>120247.22</c:v>
                </c:pt>
              </c:numCache>
            </c:numRef>
          </c:val>
        </c:ser>
        <c:dLbls>
          <c:showLegendKey val="0"/>
          <c:showVal val="1"/>
          <c:showCatName val="0"/>
          <c:showSerName val="0"/>
          <c:showPercent val="0"/>
          <c:showBubbleSize val="0"/>
        </c:dLbls>
        <c:gapWidth val="219"/>
        <c:overlap val="-27"/>
        <c:axId val="367430702"/>
        <c:axId val="127225193"/>
      </c:barChart>
      <c:catAx>
        <c:axId val="36743070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7225193"/>
        <c:crosses val="autoZero"/>
        <c:auto val="1"/>
        <c:lblAlgn val="ctr"/>
        <c:lblOffset val="100"/>
        <c:noMultiLvlLbl val="0"/>
      </c:catAx>
      <c:valAx>
        <c:axId val="12722519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743070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cap="all" spc="0" baseline="0">
                <a:solidFill>
                  <a:schemeClr val="tx1"/>
                </a:solidFill>
                <a:latin typeface="+mn-lt"/>
                <a:ea typeface="+mn-ea"/>
                <a:cs typeface="+mn-cs"/>
              </a:defRPr>
            </a:pPr>
            <a:r>
              <a:t>收入决算结构图</a:t>
            </a:r>
          </a:p>
        </c:rich>
      </c:tx>
      <c:layout/>
      <c:overlay val="0"/>
      <c:spPr>
        <a:noFill/>
        <a:ln>
          <a:noFill/>
        </a:ln>
        <a:effectLst/>
      </c:spPr>
    </c:title>
    <c:autoTitleDeleted val="0"/>
    <c:view3D>
      <c:rotX val="4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852939639404233"/>
          <c:y val="0.195188533627343"/>
          <c:w val="0.829412072119153"/>
          <c:h val="0.689446527012128"/>
        </c:manualLayout>
      </c:layout>
      <c:pie3DChart>
        <c:varyColors val="1"/>
        <c:ser>
          <c:idx val="0"/>
          <c:order val="0"/>
          <c:spPr>
            <a:ln w="19050">
              <a:solidFill>
                <a:schemeClr val="bg1"/>
              </a:solidFill>
            </a:ln>
            <a:scene3d>
              <a:camera prst="orthographicFront"/>
              <a:lightRig rig="threePt" dir="t"/>
            </a:scene3d>
            <a:sp3d contourW="19050"/>
          </c:spPr>
          <c:explosion val="0"/>
          <c:dPt>
            <c:idx val="0"/>
            <c:bubble3D val="0"/>
            <c:spPr>
              <a:solidFill>
                <a:schemeClr val="accent1"/>
              </a:solidFill>
              <a:ln w="19050">
                <a:solidFill>
                  <a:schemeClr val="bg1"/>
                </a:solidFill>
              </a:ln>
              <a:effectLst>
                <a:outerShdw blurRad="88900" sx="102000" sy="102000" algn="ctr" rotWithShape="0">
                  <a:prstClr val="black">
                    <a:alpha val="10000"/>
                  </a:prstClr>
                </a:outerShdw>
              </a:effectLst>
              <a:scene3d>
                <a:camera prst="orthographicFront"/>
                <a:lightRig rig="threePt" dir="t"/>
              </a:scene3d>
              <a:sp3d contourW="19050"/>
            </c:spPr>
          </c:dPt>
          <c:dPt>
            <c:idx val="1"/>
            <c:bubble3D val="0"/>
            <c:spPr>
              <a:solidFill>
                <a:schemeClr val="accent2"/>
              </a:solidFill>
              <a:ln w="19050">
                <a:solidFill>
                  <a:schemeClr val="bg1"/>
                </a:solidFill>
              </a:ln>
              <a:effectLst>
                <a:outerShdw blurRad="88900" sx="102000" sy="102000" algn="ctr" rotWithShape="0">
                  <a:prstClr val="black">
                    <a:alpha val="10000"/>
                  </a:prstClr>
                </a:outerShdw>
              </a:effectLst>
              <a:scene3d>
                <a:camera prst="orthographicFront"/>
                <a:lightRig rig="threePt" dir="t"/>
              </a:scene3d>
              <a:sp3d contourW="19050"/>
            </c:spPr>
          </c:dPt>
          <c:dPt>
            <c:idx val="2"/>
            <c:bubble3D val="0"/>
            <c:spPr>
              <a:solidFill>
                <a:schemeClr val="accent3"/>
              </a:solidFill>
              <a:ln w="19050">
                <a:solidFill>
                  <a:schemeClr val="bg1"/>
                </a:solidFill>
              </a:ln>
              <a:effectLst>
                <a:outerShdw blurRad="88900" sx="102000" sy="102000" algn="ctr" rotWithShape="0">
                  <a:prstClr val="black">
                    <a:alpha val="10000"/>
                  </a:prstClr>
                </a:outerShdw>
              </a:effectLst>
              <a:scene3d>
                <a:camera prst="orthographicFront"/>
                <a:lightRig rig="threePt" dir="t"/>
              </a:scene3d>
              <a:sp3d contourW="19050"/>
            </c:spPr>
          </c:dPt>
          <c:dPt>
            <c:idx val="3"/>
            <c:bubble3D val="0"/>
            <c:spPr>
              <a:solidFill>
                <a:schemeClr val="accent4"/>
              </a:solidFill>
              <a:ln w="19050">
                <a:solidFill>
                  <a:schemeClr val="bg1"/>
                </a:solidFill>
              </a:ln>
              <a:effectLst>
                <a:outerShdw blurRad="88900" sx="102000" sy="102000" algn="ctr" rotWithShape="0">
                  <a:prstClr val="black">
                    <a:alpha val="10000"/>
                  </a:prstClr>
                </a:outerShdw>
              </a:effectLst>
              <a:scene3d>
                <a:camera prst="orthographicFront"/>
                <a:lightRig rig="threePt" dir="t"/>
              </a:scene3d>
              <a:sp3d contourW="19050"/>
            </c:spPr>
          </c:dPt>
          <c:dPt>
            <c:idx val="4"/>
            <c:bubble3D val="0"/>
            <c:spPr>
              <a:solidFill>
                <a:schemeClr val="accent5"/>
              </a:solidFill>
              <a:ln w="19050">
                <a:solidFill>
                  <a:schemeClr val="bg1"/>
                </a:solidFill>
              </a:ln>
              <a:effectLst>
                <a:outerShdw blurRad="88900" sx="102000" sy="102000" algn="ctr" rotWithShape="0">
                  <a:prstClr val="black">
                    <a:alpha val="10000"/>
                  </a:prstClr>
                </a:outerShdw>
              </a:effectLst>
              <a:scene3d>
                <a:camera prst="orthographicFront"/>
                <a:lightRig rig="threePt" dir="t"/>
              </a:scene3d>
              <a:sp3d contourW="19050"/>
            </c:spPr>
          </c:dPt>
          <c:dPt>
            <c:idx val="5"/>
            <c:bubble3D val="0"/>
            <c:spPr>
              <a:solidFill>
                <a:schemeClr val="accent6">
                  <a:shade val="76667"/>
                </a:schemeClr>
              </a:solidFill>
              <a:ln w="19050">
                <a:solidFill>
                  <a:schemeClr val="bg1"/>
                </a:solidFill>
              </a:ln>
              <a:effectLst/>
              <a:scene3d>
                <a:camera prst="orthographicFront"/>
                <a:lightRig rig="threePt" dir="t"/>
              </a:scene3d>
              <a:sp3d contourW="19050"/>
            </c:spPr>
          </c:dPt>
          <c:dPt>
            <c:idx val="6"/>
            <c:bubble3D val="0"/>
            <c:spPr>
              <a:solidFill>
                <a:schemeClr val="accent1">
                  <a:tint val="76667"/>
                </a:schemeClr>
              </a:solidFill>
              <a:ln w="19050">
                <a:solidFill>
                  <a:schemeClr val="bg1"/>
                </a:solidFill>
              </a:ln>
              <a:effectLst/>
              <a:scene3d>
                <a:camera prst="orthographicFront"/>
                <a:lightRig rig="threePt" dir="t"/>
              </a:scene3d>
              <a:sp3d contourW="19050"/>
            </c:spPr>
          </c:dPt>
          <c:dPt>
            <c:idx val="7"/>
            <c:bubble3D val="0"/>
            <c:spPr>
              <a:solidFill>
                <a:schemeClr val="accent2">
                  <a:tint val="76667"/>
                </a:schemeClr>
              </a:solidFill>
              <a:ln w="19050">
                <a:solidFill>
                  <a:schemeClr val="bg1"/>
                </a:solidFill>
              </a:ln>
              <a:effectLst/>
              <a:scene3d>
                <a:camera prst="orthographicFront"/>
                <a:lightRig rig="threePt" dir="t"/>
              </a:scene3d>
              <a:sp3d contourW="19050"/>
            </c:spPr>
          </c:dPt>
          <c:dLbls>
            <c:dLbl>
              <c:idx val="0"/>
              <c:layout>
                <c:manualLayout>
                  <c:x val="0.239583333333333"/>
                  <c:y val="0.0555555555555556"/>
                </c:manualLayout>
              </c:layout>
              <c:numFmt formatCode="General" sourceLinked="1"/>
              <c:spPr>
                <a:solidFill>
                  <a:srgbClr val="FFFFFF"/>
                </a:solidFill>
                <a:ln w="12700">
                  <a:solidFill>
                    <a:schemeClr val="accent1">
                      <a:lumMod val="75000"/>
                    </a:schemeClr>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accent1">
                          <a:lumMod val="75000"/>
                        </a:schemeClr>
                      </a:solidFill>
                      <a:latin typeface="+mn-lt"/>
                      <a:ea typeface="+mn-ea"/>
                      <a:cs typeface="+mn-cs"/>
                    </a:defRPr>
                  </a:pPr>
                </a:p>
              </c:txPr>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1"/>
              <c:layout>
                <c:manualLayout>
                  <c:x val="-0.558333333333333"/>
                  <c:y val="0.305555555555556"/>
                </c:manualLayout>
              </c:layout>
              <c:numFmt formatCode="General" sourceLinked="1"/>
              <c:spPr>
                <a:solidFill>
                  <a:srgbClr val="FFFFFF"/>
                </a:solidFill>
                <a:ln w="12700">
                  <a:solidFill>
                    <a:schemeClr val="accent2">
                      <a:lumMod val="75000"/>
                    </a:schemeClr>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accent2">
                          <a:lumMod val="75000"/>
                        </a:schemeClr>
                      </a:solidFill>
                      <a:latin typeface="+mn-lt"/>
                      <a:ea typeface="+mn-ea"/>
                      <a:cs typeface="+mn-cs"/>
                    </a:defRPr>
                  </a:pPr>
                </a:p>
              </c:txPr>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2"/>
              <c:layout>
                <c:manualLayout>
                  <c:x val="0.16875"/>
                  <c:y val="0.423611111111111"/>
                </c:manualLayout>
              </c:layout>
              <c:numFmt formatCode="General" sourceLinked="1"/>
              <c:spPr>
                <a:solidFill>
                  <a:srgbClr val="FFFFFF"/>
                </a:solidFill>
                <a:ln w="12700">
                  <a:solidFill>
                    <a:schemeClr val="accent3">
                      <a:lumMod val="75000"/>
                    </a:schemeClr>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accent3">
                          <a:lumMod val="75000"/>
                        </a:schemeClr>
                      </a:solidFill>
                      <a:latin typeface="+mn-lt"/>
                      <a:ea typeface="+mn-ea"/>
                      <a:cs typeface="+mn-cs"/>
                    </a:defRPr>
                  </a:pPr>
                </a:p>
              </c:txPr>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3"/>
              <c:layout>
                <c:manualLayout>
                  <c:x val="0.1875"/>
                  <c:y val="0.583333333333333"/>
                </c:manualLayout>
              </c:layout>
              <c:numFmt formatCode="General" sourceLinked="1"/>
              <c:spPr>
                <a:solidFill>
                  <a:srgbClr val="FFFFFF"/>
                </a:solidFill>
                <a:ln w="12700">
                  <a:solidFill>
                    <a:schemeClr val="accent4">
                      <a:lumMod val="75000"/>
                    </a:schemeClr>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accent4">
                          <a:lumMod val="75000"/>
                        </a:schemeClr>
                      </a:solidFill>
                      <a:latin typeface="+mn-lt"/>
                      <a:ea typeface="+mn-ea"/>
                      <a:cs typeface="+mn-cs"/>
                    </a:defRPr>
                  </a:pPr>
                </a:p>
              </c:txPr>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4"/>
              <c:layout>
                <c:manualLayout>
                  <c:x val="0.0229166666666667"/>
                  <c:y val="-0.277777777777778"/>
                </c:manualLayout>
              </c:layout>
              <c:numFmt formatCode="General" sourceLinked="1"/>
              <c:spPr>
                <a:solidFill>
                  <a:srgbClr val="FFFFFF"/>
                </a:solidFill>
                <a:ln w="12700">
                  <a:solidFill>
                    <a:schemeClr val="accent6"/>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accent6"/>
                      </a:solidFill>
                      <a:latin typeface="+mn-lt"/>
                      <a:ea typeface="+mn-ea"/>
                      <a:cs typeface="+mn-cs"/>
                    </a:defRPr>
                  </a:pPr>
                </a:p>
              </c:txPr>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5"/>
              <c:layout>
                <c:manualLayout>
                  <c:x val="0.491666666666667"/>
                  <c:y val="0.243055555555556"/>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6"/>
              <c:layout>
                <c:manualLayout>
                  <c:x val="-0.2125"/>
                  <c:y val="0.548611111111111"/>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7"/>
              <c:layout>
                <c:manualLayout>
                  <c:x val="-0.254166666666667"/>
                  <c:y val="0.107638888888889"/>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numFmt formatCode="General" sourceLinked="1"/>
            <c:spPr>
              <a:solidFill>
                <a:srgbClr val="FFFFFF"/>
              </a:solidFill>
              <a:ln w="12700">
                <a:solidFill>
                  <a:srgbClr val="000000">
                    <a:lumMod val="65000"/>
                    <a:lumOff val="35000"/>
                  </a:srgbClr>
                </a:solid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solidFill>
                    <a:latin typeface="+mn-lt"/>
                    <a:ea typeface="+mn-ea"/>
                    <a:cs typeface="+mn-cs"/>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[工作簿1]Sheet1!$C$32:$C$39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[工作簿1]Sheet1!$D$32:$D$39</c:f>
              <c:numCache>
                <c:formatCode>#,##0.00</c:formatCode>
                <c:ptCount val="8"/>
                <c:pt idx="0">
                  <c:v>9725.52</c:v>
                </c:pt>
                <c:pt idx="1">
                  <c:v>0</c:v>
                </c:pt>
                <c:pt idx="2">
                  <c:v>0</c:v>
                </c:pt>
                <c:pt idx="3">
                  <c:v>0</c:v>
                </c:pt>
                <c:pt idx="4">
                  <c:v>97215.98</c:v>
                </c:pt>
                <c:pt idx="5">
                  <c:v>0</c:v>
                </c:pt>
                <c:pt idx="6">
                  <c:v>0</c:v>
                </c:pt>
                <c:pt idx="7">
                  <c:v>6726.21</c:v>
                </c:pt>
              </c:numCache>
            </c:numRef>
          </c:val>
        </c:ser>
        <c:dLbls>
          <c:showLegendKey val="0"/>
          <c:showVal val="0"/>
          <c:showCatName val="0"/>
          <c:showSerName val="0"/>
          <c:showPercent val="1"/>
          <c:showBubbleSize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cap="all" spc="0" baseline="0">
                <a:solidFill>
                  <a:schemeClr val="tx1"/>
                </a:solidFill>
                <a:latin typeface="+mn-lt"/>
                <a:ea typeface="+mn-ea"/>
                <a:cs typeface="+mn-cs"/>
              </a:defRPr>
            </a:pPr>
            <a:r>
              <a:t>支出决算结构图</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19050"/>
          </c:spPr>
          <c:explosion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c:spPr>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c:spPr>
          </c:dPt>
          <c:dPt>
            <c:idx val="2"/>
            <c:bubble3D val="0"/>
            <c:spPr>
              <a:solidFill>
                <a:schemeClr val="accent3"/>
              </a:solidFill>
              <a:ln w="19050">
                <a:solidFill>
                  <a:schemeClr val="accent3">
                    <a:lumMod val="75000"/>
                  </a:schemeClr>
                </a:solidFill>
              </a:ln>
              <a:effectLst>
                <a:innerShdw blurRad="114300">
                  <a:schemeClr val="accent3">
                    <a:lumMod val="75000"/>
                  </a:schemeClr>
                </a:innerShdw>
              </a:effectLst>
            </c:spPr>
          </c:dPt>
          <c:dPt>
            <c:idx val="3"/>
            <c:bubble3D val="0"/>
            <c:spPr>
              <a:solidFill>
                <a:schemeClr val="accent4"/>
              </a:solidFill>
              <a:ln w="19050">
                <a:solidFill>
                  <a:schemeClr val="accent4">
                    <a:lumMod val="75000"/>
                  </a:schemeClr>
                </a:solidFill>
              </a:ln>
              <a:effectLst/>
              <a:scene3d>
                <a:camera prst="orthographicFront"/>
                <a:lightRig rig="threePt" dir="t"/>
              </a:scene3d>
              <a:sp3d contourW="19050"/>
            </c:spPr>
          </c:dPt>
          <c:dPt>
            <c:idx val="4"/>
            <c:bubble3D val="0"/>
            <c:spPr>
              <a:solidFill>
                <a:schemeClr val="accent5"/>
              </a:solidFill>
              <a:ln w="19050">
                <a:solidFill>
                  <a:schemeClr val="accent5">
                    <a:lumMod val="75000"/>
                  </a:schemeClr>
                </a:solidFill>
              </a:ln>
              <a:effectLst/>
              <a:scene3d>
                <a:camera prst="orthographicFront"/>
                <a:lightRig rig="threePt" dir="t"/>
              </a:scene3d>
              <a:sp3d contourW="19050"/>
            </c:spPr>
          </c:dPt>
          <c:dLbls>
            <c:dLbl>
              <c:idx val="0"/>
              <c:layout>
                <c:manualLayout>
                  <c:x val="0.0145833333333333"/>
                  <c:y val="-0.329861111111111"/>
                </c:manualLayout>
              </c:layout>
              <c:numFmt formatCode="General" sourceLinked="1"/>
              <c:spPr>
                <a:solidFill>
                  <a:schemeClr val="bg1"/>
                </a:solidFill>
                <a:ln>
                  <a:solidFill>
                    <a:schemeClr val="accent1">
                      <a:lumMod val="75000"/>
                    </a:schemeClr>
                  </a:solidFill>
                </a:ln>
                <a:effectLst>
                  <a:outerShdw blurRad="50800" dist="25400" dir="2700000" algn="tl" rotWithShape="0">
                    <a:schemeClr val="accent1">
                      <a:lumMod val="50000"/>
                      <a:alpha val="40000"/>
                    </a:schemeClr>
                  </a:outerShdw>
                </a:effectLst>
              </c:spPr>
              <c:txPr>
                <a:bodyPr rot="0" spcFirstLastPara="0" vertOverflow="ellipsis" vert="horz" wrap="square" lIns="38100" tIns="19050" rIns="38100" bIns="19050" anchor="ctr" anchorCtr="1" forceAA="0"/>
                <a:lstStyle/>
                <a:p>
                  <a:pPr>
                    <a:defRPr lang="zh-CN" sz="1000" b="1" i="0" u="none" strike="noStrike" kern="1200" baseline="0">
                      <a:solidFill>
                        <a:schemeClr val="accent1"/>
                      </a:solidFill>
                      <a:latin typeface="+mn-lt"/>
                      <a:ea typeface="+mn-ea"/>
                      <a:cs typeface="+mn-cs"/>
                    </a:defRPr>
                  </a:pPr>
                </a:p>
              </c:txPr>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1"/>
              <c:layout>
                <c:manualLayout>
                  <c:x val="-0.322916666666667"/>
                  <c:y val="0.0520833333333333"/>
                </c:manualLayout>
              </c:layout>
              <c:numFmt formatCode="General" sourceLinked="1"/>
              <c:spPr>
                <a:solidFill>
                  <a:schemeClr val="bg1"/>
                </a:solidFill>
                <a:ln>
                  <a:solidFill>
                    <a:schemeClr val="accent2"/>
                  </a:solidFill>
                </a:ln>
                <a:effectLst>
                  <a:outerShdw blurRad="50800" dist="25400" dir="2700000" algn="tl" rotWithShape="0">
                    <a:schemeClr val="accent2">
                      <a:lumMod val="50000"/>
                      <a:alpha val="40000"/>
                    </a:schemeClr>
                  </a:outerShdw>
                </a:effectLst>
              </c:spPr>
              <c:txPr>
                <a:bodyPr rot="0" spcFirstLastPara="0" vertOverflow="ellipsis" vert="horz" wrap="square" lIns="38100" tIns="19050" rIns="38100" bIns="19050" anchor="ctr" anchorCtr="1" forceAA="0"/>
                <a:lstStyle/>
                <a:p>
                  <a:pPr>
                    <a:defRPr lang="zh-CN" sz="1000" b="1" i="0" u="none" strike="noStrike" kern="1200" baseline="0">
                      <a:solidFill>
                        <a:schemeClr val="accent2"/>
                      </a:solidFill>
                      <a:latin typeface="+mn-lt"/>
                      <a:ea typeface="+mn-ea"/>
                      <a:cs typeface="+mn-cs"/>
                    </a:defRPr>
                  </a:pPr>
                </a:p>
              </c:txPr>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2"/>
              <c:layout>
                <c:manualLayout>
                  <c:x val="-0.383333333333333"/>
                  <c:y val="0.315972222222222"/>
                </c:manualLayout>
              </c:layout>
              <c:numFmt formatCode="General" sourceLinked="1"/>
              <c:spPr>
                <a:solidFill>
                  <a:schemeClr val="bg1"/>
                </a:solidFill>
                <a:ln>
                  <a:solidFill>
                    <a:schemeClr val="accent5"/>
                  </a:solidFill>
                </a:ln>
                <a:effectLst>
                  <a:outerShdw blurRad="50800" dist="25400" dir="2700000" algn="tl" rotWithShape="0">
                    <a:schemeClr val="accent5">
                      <a:lumMod val="50000"/>
                      <a:alpha val="40000"/>
                    </a:schemeClr>
                  </a:outerShdw>
                </a:effectLst>
              </c:spPr>
              <c:txPr>
                <a:bodyPr rot="0" spcFirstLastPara="0" vertOverflow="ellipsis" vert="horz" wrap="square" lIns="38100" tIns="19050" rIns="38100" bIns="19050" anchor="ctr" anchorCtr="1" forceAA="0"/>
                <a:lstStyle/>
                <a:p>
                  <a:pPr>
                    <a:defRPr lang="zh-CN" sz="1000" b="1" i="0" u="none" strike="noStrike" kern="1200" baseline="0">
                      <a:solidFill>
                        <a:schemeClr val="accent5"/>
                      </a:solidFill>
                      <a:latin typeface="+mn-lt"/>
                      <a:ea typeface="+mn-ea"/>
                      <a:cs typeface="+mn-cs"/>
                    </a:defRPr>
                  </a:pPr>
                </a:p>
              </c:txPr>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3"/>
              <c:layout>
                <c:manualLayout>
                  <c:x val="0.38125"/>
                  <c:y val="0.298611111111111"/>
                </c:manualLayout>
              </c:layout>
              <c:numFmt formatCode="General" sourceLinked="1"/>
              <c:spPr>
                <a:solidFill>
                  <a:schemeClr val="bg1"/>
                </a:solidFill>
                <a:ln>
                  <a:solidFill>
                    <a:schemeClr val="accent4"/>
                  </a:solidFill>
                </a:ln>
                <a:effectLst>
                  <a:outerShdw blurRad="50800" dist="25400" dir="2700000" algn="tl" rotWithShape="0">
                    <a:prstClr val="black">
                      <a:alpha val="40000"/>
                    </a:prstClr>
                  </a:outerShdw>
                </a:effectLst>
              </c:spPr>
              <c:txPr>
                <a:bodyPr rot="0" spcFirstLastPara="0" vertOverflow="ellipsis" vert="horz" wrap="square" lIns="38100" tIns="19050" rIns="38100" bIns="19050" anchor="ctr" anchorCtr="1" forceAA="0"/>
                <a:lstStyle/>
                <a:p>
                  <a:pPr>
                    <a:defRPr lang="zh-CN" sz="1000" b="1" i="0" u="none" strike="noStrike" kern="1200" baseline="0">
                      <a:solidFill>
                        <a:schemeClr val="accent4"/>
                      </a:solidFill>
                      <a:latin typeface="+mn-lt"/>
                      <a:ea typeface="+mn-ea"/>
                      <a:cs typeface="+mn-cs"/>
                    </a:defRPr>
                  </a:pPr>
                </a:p>
              </c:txPr>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4"/>
              <c:layout>
                <c:manualLayout>
                  <c:x val="0.308333333333333"/>
                  <c:y val="0.0798611111111111"/>
                </c:manualLayout>
              </c:layout>
              <c:numFmt formatCode="General" sourceLinked="1"/>
              <c:spPr>
                <a:solidFill>
                  <a:schemeClr val="bg1"/>
                </a:solidFill>
                <a:ln>
                  <a:solidFill>
                    <a:schemeClr val="accent5"/>
                  </a:solidFill>
                </a:ln>
                <a:effectLst>
                  <a:outerShdw blurRad="50800" dist="25400" dir="2700000" algn="tl" rotWithShape="0">
                    <a:prstClr val="black">
                      <a:alpha val="40000"/>
                    </a:prstClr>
                  </a:outerShdw>
                </a:effectLst>
              </c:spPr>
              <c:txPr>
                <a:bodyPr rot="0" spcFirstLastPara="0" vertOverflow="ellipsis" vert="horz" wrap="square" lIns="38100" tIns="19050" rIns="38100" bIns="19050" anchor="ctr" anchorCtr="1" forceAA="0"/>
                <a:lstStyle/>
                <a:p>
                  <a:pPr>
                    <a:defRPr lang="zh-CN" sz="1000" b="1" i="0" u="none" strike="noStrike" kern="1200" baseline="0">
                      <a:solidFill>
                        <a:schemeClr val="accent5"/>
                      </a:solidFill>
                      <a:latin typeface="+mn-lt"/>
                      <a:ea typeface="+mn-ea"/>
                      <a:cs typeface="+mn-cs"/>
                    </a:defRPr>
                  </a:pPr>
                </a:p>
              </c:txPr>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numFmt formatCode="General" sourceLinked="1"/>
            <c:spPr>
              <a:solidFill>
                <a:schemeClr val="bg1"/>
              </a:solidFill>
              <a:ln>
                <a:solidFill>
                  <a:schemeClr val="accent1"/>
                </a:solidFill>
              </a:ln>
              <a:effectLst>
                <a:outerShdw blurRad="50800" dist="25400" dir="2700000" algn="tl" rotWithShape="0">
                  <a:prstClr val="black">
                    <a:alpha val="40000"/>
                  </a:prstClr>
                </a:outerShdw>
              </a:effectLst>
            </c:spPr>
            <c:txPr>
              <a:bodyPr rot="0" spcFirstLastPara="0" vertOverflow="ellipsis" vert="horz" wrap="square" lIns="38100" tIns="19050" rIns="38100" bIns="19050" anchor="ctr" anchorCtr="1" forceAA="0"/>
              <a:lstStyle/>
              <a:p>
                <a:pPr>
                  <a:defRPr lang="zh-CN" sz="1000" b="1" i="0" u="none" strike="noStrike" kern="1200" baseline="0">
                    <a:solidFill>
                      <a:schemeClr val="accent1"/>
                    </a:solidFill>
                    <a:latin typeface="+mn-lt"/>
                    <a:ea typeface="+mn-ea"/>
                    <a:cs typeface="+mn-cs"/>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[工作簿1]Sheet1!$C$46:$C$50</c:f>
              <c:strCache>
                <c:ptCount val="5"/>
                <c:pt idx="0">
                  <c:v>基本支出</c:v>
                </c:pt>
                <c:pt idx="1">
                  <c:v>项目支出</c:v>
                </c:pt>
                <c:pt idx="2">
                  <c:v>上缴上级支出</c:v>
                </c:pt>
                <c:pt idx="3">
                  <c:v>经营支出</c:v>
                </c:pt>
                <c:pt idx="4">
                  <c:v>对附属单位补助支出</c:v>
                </c:pt>
              </c:strCache>
            </c:strRef>
          </c:cat>
          <c:val>
            <c:numRef>
              <c:f>[工作簿1]Sheet1!$D$46:$D$50</c:f>
              <c:numCache>
                <c:formatCode>#,##0.00</c:formatCode>
                <c:ptCount val="5"/>
                <c:pt idx="0">
                  <c:v>116534.19</c:v>
                </c:pt>
                <c:pt idx="1">
                  <c:v>3713.03</c:v>
                </c:pt>
                <c:pt idx="2">
                  <c:v>0</c:v>
                </c:pt>
                <c:pt idx="3">
                  <c:v>0</c:v>
                </c:pt>
                <c:pt idx="4">
                  <c:v>0</c:v>
                </c:pt>
              </c:numCache>
            </c:numRef>
          </c:val>
        </c:ser>
        <c:dLbls>
          <c:showLegendKey val="0"/>
          <c:showVal val="0"/>
          <c:showCatName val="1"/>
          <c:showSerName val="0"/>
          <c:showPercent val="1"/>
          <c:showBubbleSize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[工作簿1]Sheet1!$B$65:$B$66</c:f>
              <c:strCache>
                <c:ptCount val="2"/>
                <c:pt idx="0">
                  <c:v>2021年财政拨款收支总计</c:v>
                </c:pt>
                <c:pt idx="1">
                  <c:v>2022年财政拨款收支总计</c:v>
                </c:pt>
              </c:strCache>
            </c:strRef>
          </c:cat>
          <c:val>
            <c:numRef>
              <c:f>[工作簿1]Sheet1!$C$65:$C$66</c:f>
              <c:numCache>
                <c:formatCode>General</c:formatCode>
                <c:ptCount val="2"/>
                <c:pt idx="0">
                  <c:v>9708.86</c:v>
                </c:pt>
                <c:pt idx="1">
                  <c:v>9725.52</c:v>
                </c:pt>
              </c:numCache>
            </c:numRef>
          </c:val>
        </c:ser>
        <c:dLbls>
          <c:showLegendKey val="0"/>
          <c:showVal val="1"/>
          <c:showCatName val="0"/>
          <c:showSerName val="0"/>
          <c:showPercent val="0"/>
          <c:showBubbleSize val="0"/>
        </c:dLbls>
        <c:gapWidth val="219"/>
        <c:overlap val="-27"/>
        <c:axId val="758250948"/>
        <c:axId val="270319999"/>
      </c:barChart>
      <c:catAx>
        <c:axId val="7582509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0319999"/>
        <c:crosses val="autoZero"/>
        <c:auto val="1"/>
        <c:lblAlgn val="ctr"/>
        <c:lblOffset val="100"/>
        <c:noMultiLvlLbl val="0"/>
      </c:catAx>
      <c:valAx>
        <c:axId val="2703199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82509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[工作簿1]Sheet1!$B$65:$B$66</c:f>
              <c:strCache>
                <c:ptCount val="2"/>
                <c:pt idx="0">
                  <c:v>2021年一般公共预算财政拨款支出</c:v>
                </c:pt>
                <c:pt idx="1">
                  <c:v>2022年一般公共预算财政拨款支出</c:v>
                </c:pt>
              </c:strCache>
            </c:strRef>
          </c:cat>
          <c:val>
            <c:numRef>
              <c:f>[工作簿1]Sheet1!$C$65:$C$66</c:f>
              <c:numCache>
                <c:formatCode>General</c:formatCode>
                <c:ptCount val="2"/>
                <c:pt idx="0">
                  <c:v>9708.86</c:v>
                </c:pt>
                <c:pt idx="1">
                  <c:v>9725.52</c:v>
                </c:pt>
              </c:numCache>
            </c:numRef>
          </c:val>
        </c:ser>
        <c:dLbls>
          <c:showLegendKey val="0"/>
          <c:showVal val="1"/>
          <c:showCatName val="0"/>
          <c:showSerName val="0"/>
          <c:showPercent val="0"/>
          <c:showBubbleSize val="0"/>
        </c:dLbls>
        <c:gapWidth val="219"/>
        <c:overlap val="-27"/>
        <c:axId val="758250948"/>
        <c:axId val="270319999"/>
      </c:barChart>
      <c:catAx>
        <c:axId val="7582509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0319999"/>
        <c:crosses val="autoZero"/>
        <c:auto val="1"/>
        <c:lblAlgn val="ctr"/>
        <c:lblOffset val="100"/>
        <c:noMultiLvlLbl val="0"/>
      </c:catAx>
      <c:valAx>
        <c:axId val="2703199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82509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社会保障和就业支出, 2,570.6</a:t>
                    </a:r>
                    <a:r>
                      <a:rPr lang="en-US" altLang="zh-CN"/>
                      <a:t>8</a:t>
                    </a:r>
                    <a:endParaRPr lang="en-US" altLang="zh-CN"/>
                  </a:p>
                </c:rich>
              </c:tx>
              <c:dLblPos val="inEnd"/>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[工作簿1.xlsx]Sheet1!$C$78:$C$80</c:f>
              <c:strCache>
                <c:ptCount val="3"/>
                <c:pt idx="0">
                  <c:v>科学技术支出</c:v>
                </c:pt>
                <c:pt idx="1">
                  <c:v>社会保障和就业支出</c:v>
                </c:pt>
                <c:pt idx="2">
                  <c:v>卫生健康支出</c:v>
                </c:pt>
              </c:strCache>
            </c:strRef>
          </c:cat>
          <c:val>
            <c:numRef>
              <c:f>[工作簿1.xlsx]Sheet1!$D$78:$D$80</c:f>
              <c:numCache>
                <c:formatCode>#,##0.00</c:formatCode>
                <c:ptCount val="3"/>
                <c:pt idx="0">
                  <c:v>26.95</c:v>
                </c:pt>
                <c:pt idx="1">
                  <c:v>2570.69</c:v>
                </c:pt>
                <c:pt idx="2">
                  <c:v>7127.88</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4】">
    <a:dk1>
      <a:srgbClr val="000000"/>
    </a:dk1>
    <a:lt1>
      <a:srgbClr val="FFFFFF"/>
    </a:lt1>
    <a:dk2>
      <a:srgbClr val="0C0E1F"/>
    </a:dk2>
    <a:lt2>
      <a:srgbClr val="FEFFFF"/>
    </a:lt2>
    <a:accent1>
      <a:srgbClr val="FEB348"/>
    </a:accent1>
    <a:accent2>
      <a:srgbClr val="FE7B48"/>
    </a:accent2>
    <a:accent3>
      <a:srgbClr val="5FB6FF"/>
    </a:accent3>
    <a:accent4>
      <a:srgbClr val="3787FF"/>
    </a:accent4>
    <a:accent5>
      <a:srgbClr val="4165FF"/>
    </a:accent5>
    <a:accent6>
      <a:srgbClr val="48C8AC"/>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0.01">
    <a:dk1>
      <a:srgbClr val="000000"/>
    </a:dk1>
    <a:lt1>
      <a:srgbClr val="FFFFFF"/>
    </a:lt1>
    <a:dk2>
      <a:srgbClr val="D4EBFB"/>
    </a:dk2>
    <a:lt2>
      <a:srgbClr val="93D9FA"/>
    </a:lt2>
    <a:accent1>
      <a:srgbClr val="3CB8EC"/>
    </a:accent1>
    <a:accent2>
      <a:srgbClr val="77D1E8"/>
    </a:accent2>
    <a:accent3>
      <a:srgbClr val="FAC114"/>
    </a:accent3>
    <a:accent4>
      <a:srgbClr val="FE961C"/>
    </a:accent4>
    <a:accent5>
      <a:srgbClr val="E15441"/>
    </a:accent5>
    <a:accent6>
      <a:srgbClr val="D73129"/>
    </a:accent6>
    <a:hlink>
      <a:srgbClr val="3C72AD"/>
    </a:hlink>
    <a:folHlink>
      <a:srgbClr val="E0631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9273</Words>
  <Characters>10139</Characters>
  <Lines>6</Lines>
  <Paragraphs>12</Paragraphs>
  <TotalTime>391</TotalTime>
  <ScaleCrop>false</ScaleCrop>
  <LinksUpToDate>false</LinksUpToDate>
  <CharactersWithSpaces>10370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2022-08-17T03:01:00Z</dcterms:created>
  <dc:creator>曹颖</dc:creator>
  <cp:lastModifiedBy>本宝宝~</cp:lastModifiedBy>
  <cp:lastPrinted>2023-09-21T07:56:01Z</cp:lastPrinted>
  <dcterms:modified xsi:type="dcterms:W3CDTF">2023-09-21T09:31:11Z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869098A6B274488D9FD0BA7B574A3D42</vt:lpwstr>
  </property>
</Properties>
</file>