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819F1">
      <w:pPr>
        <w:rPr>
          <w:rFonts w:ascii="Times New Roman" w:hAnsi="Times New Roman"/>
        </w:rPr>
      </w:pPr>
      <w:bookmarkStart w:id="0" w:name="_Toc15377193"/>
      <w:bookmarkStart w:id="1" w:name="_Toc15396475"/>
      <w:bookmarkStart w:id="2" w:name="_Toc15378441"/>
      <w:bookmarkStart w:id="3" w:name="_Toc15377425"/>
      <w:bookmarkStart w:id="4" w:name="_Toc15396597"/>
      <w:bookmarkStart w:id="5" w:name="_Toc15306267"/>
    </w:p>
    <w:p w14:paraId="47AEBD62">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6381387E">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2FA817EE">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24743D78">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78B556F4">
      <w:pPr>
        <w:pStyle w:val="8"/>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78442"/>
      <w:bookmarkStart w:id="7" w:name="_Toc15396598"/>
      <w:bookmarkStart w:id="8" w:name="_Toc15377426"/>
      <w:bookmarkStart w:id="9" w:name="_Toc15396476"/>
      <w:bookmarkStart w:id="10" w:name="_Toc15377194"/>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凉山彝族自治州第一人民医院单位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p>
    <w:p w14:paraId="1EDDFF9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val="en-US" w:eastAsia="zh-CN"/>
        </w:rPr>
      </w:pPr>
    </w:p>
    <w:p w14:paraId="793CFC47">
      <w:pPr>
        <w:widowControl/>
        <w:jc w:val="center"/>
        <w:rPr>
          <w:rFonts w:hint="eastAsia" w:ascii="Times New Roman" w:hAnsi="Times New Roman"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10D5A07F">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27D2D358">
      <w:pPr>
        <w:widowControl/>
        <w:jc w:val="center"/>
        <w:rPr>
          <w:rFonts w:ascii="Times New Roman" w:hAnsi="Times New Roman" w:eastAsia="黑体" w:cstheme="minorBidi"/>
          <w:color w:val="auto"/>
          <w:sz w:val="28"/>
          <w:szCs w:val="28"/>
          <w:highlight w:val="none"/>
        </w:rPr>
      </w:pPr>
    </w:p>
    <w:p w14:paraId="741F99E0">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9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22 </w:t>
      </w:r>
      <w:r>
        <w:rPr>
          <w:rFonts w:hint="eastAsia" w:ascii="Times New Roman" w:hAnsi="Times New Roman" w:eastAsia="仿宋_GB2312" w:cs="仿宋_GB2312"/>
          <w:color w:val="auto"/>
          <w:sz w:val="32"/>
          <w:szCs w:val="32"/>
          <w:highlight w:val="none"/>
        </w:rPr>
        <w:t>日</w:t>
      </w:r>
    </w:p>
    <w:p w14:paraId="187868CE">
      <w:pPr>
        <w:rPr>
          <w:rFonts w:hint="eastAsia"/>
        </w:rPr>
      </w:pPr>
    </w:p>
    <w:sdt>
      <w:sdtPr>
        <w:rPr>
          <w:rFonts w:ascii="宋体" w:hAnsi="宋体" w:eastAsia="宋体" w:cs="Times New Roman"/>
          <w:kern w:val="2"/>
          <w:sz w:val="21"/>
          <w:szCs w:val="24"/>
          <w:lang w:val="en-US" w:eastAsia="zh-CN" w:bidi="ar-SA"/>
        </w:rPr>
        <w:id w:val="147460913"/>
        <w15:color w:val="DBDBDB"/>
        <w:docPartObj>
          <w:docPartGallery w:val="Table of Contents"/>
          <w:docPartUnique/>
        </w:docPartObj>
      </w:sdtPr>
      <w:sdtEndPr>
        <w:rPr>
          <w:rFonts w:hint="default" w:ascii="Times New Roman" w:hAnsi="Times New Roman" w:eastAsia="宋体" w:cs="Times New Roman"/>
          <w:kern w:val="2"/>
          <w:sz w:val="21"/>
          <w:szCs w:val="24"/>
          <w:lang w:val="en-US" w:eastAsia="zh-CN" w:bidi="ar-SA"/>
        </w:rPr>
      </w:sdtEndPr>
      <w:sdtContent>
        <w:p w14:paraId="4D835343">
          <w:pPr>
            <w:pStyle w:val="13"/>
            <w:tabs>
              <w:tab w:val="right" w:leader="dot" w:pos="8306"/>
              <w:tab w:val="clear" w:pos="8296"/>
            </w:tabs>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_Toc25528 </w:instrText>
          </w:r>
          <w:r>
            <w:rPr>
              <w:rFonts w:hint="default" w:ascii="Times New Roman" w:hAnsi="Times New Roman" w:cs="Times New Roman"/>
            </w:rPr>
            <w:fldChar w:fldCharType="separate"/>
          </w:r>
          <w:r>
            <w:rPr>
              <w:rFonts w:hint="default" w:ascii="Times New Roman" w:hAnsi="Times New Roman" w:eastAsia="方正小标宋简体" w:cs="Times New Roman"/>
              <w:highlight w:val="none"/>
            </w:rPr>
            <w:t>第一部分</w:t>
          </w:r>
          <w:r>
            <w:rPr>
              <w:rFonts w:hint="default" w:ascii="Times New Roman" w:hAnsi="Times New Roman" w:eastAsia="方正小标宋简体" w:cs="Times New Roman"/>
              <w:highlight w:val="none"/>
              <w:lang w:val="en-US" w:eastAsia="zh-CN"/>
            </w:rPr>
            <w:t xml:space="preserve"> </w:t>
          </w:r>
          <w:r>
            <w:rPr>
              <w:rFonts w:hint="default" w:ascii="Times New Roman" w:hAnsi="Times New Roman" w:eastAsia="方正小标宋简体" w:cs="Times New Roman"/>
              <w:highlight w:val="none"/>
            </w:rPr>
            <w:t xml:space="preserve"> </w:t>
          </w:r>
          <w:r>
            <w:rPr>
              <w:rFonts w:hint="default" w:ascii="Times New Roman" w:hAnsi="Times New Roman" w:eastAsia="方正小标宋简体" w:cs="Times New Roman"/>
              <w:bCs w:val="0"/>
              <w:highlight w:val="none"/>
              <w:lang w:eastAsia="zh-CN"/>
            </w:rPr>
            <w:t>单位</w:t>
          </w:r>
          <w:r>
            <w:rPr>
              <w:rFonts w:hint="default" w:ascii="Times New Roman" w:hAnsi="Times New Roman" w:eastAsia="方正小标宋简体" w:cs="Times New Roman"/>
              <w:bCs w:val="0"/>
              <w:highlight w:val="none"/>
            </w:rPr>
            <w:t>概况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_Toc25528 \h </w:instrText>
          </w:r>
          <w:r>
            <w:rPr>
              <w:rFonts w:hint="default" w:ascii="Times New Roman" w:hAnsi="Times New Roman" w:cs="Times New Roman"/>
            </w:rPr>
            <w:fldChar w:fldCharType="separate"/>
          </w:r>
          <w:r>
            <w:rPr>
              <w:rFonts w:hint="default" w:ascii="Times New Roman" w:hAnsi="Times New Roman" w:cs="Times New Roman"/>
            </w:rPr>
            <w:t>- 1 -</w:t>
          </w:r>
          <w:r>
            <w:rPr>
              <w:rFonts w:hint="default" w:ascii="Times New Roman" w:hAnsi="Times New Roman" w:cs="Times New Roman"/>
            </w:rPr>
            <w:fldChar w:fldCharType="end"/>
          </w:r>
          <w:r>
            <w:rPr>
              <w:rFonts w:hint="default" w:ascii="Times New Roman" w:hAnsi="Times New Roman" w:cs="Times New Roman"/>
            </w:rPr>
            <w:fldChar w:fldCharType="end"/>
          </w:r>
        </w:p>
        <w:p w14:paraId="3450084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fldChar w:fldCharType="begin"/>
          </w:r>
          <w:r>
            <w:rPr>
              <w:rFonts w:hint="default" w:ascii="Times New Roman" w:hAnsi="Times New Roman" w:eastAsia="仿宋_GB2312" w:cs="Times New Roman"/>
              <w:color w:val="auto"/>
              <w:sz w:val="28"/>
              <w:szCs w:val="28"/>
              <w:highlight w:val="none"/>
              <w:lang w:eastAsia="zh-CN"/>
            </w:rPr>
            <w:instrText xml:space="preserve"> HYPERLINK \l _Toc31677 </w:instrText>
          </w:r>
          <w:r>
            <w:rPr>
              <w:rFonts w:hint="default" w:ascii="Times New Roman" w:hAnsi="Times New Roman" w:eastAsia="仿宋_GB2312" w:cs="Times New Roman"/>
              <w:color w:val="auto"/>
              <w:sz w:val="28"/>
              <w:szCs w:val="28"/>
              <w:highlight w:val="none"/>
              <w:lang w:eastAsia="zh-CN"/>
            </w:rPr>
            <w:fldChar w:fldCharType="separate"/>
          </w:r>
          <w:r>
            <w:rPr>
              <w:rFonts w:hint="default" w:ascii="Times New Roman" w:hAnsi="Times New Roman" w:eastAsia="仿宋_GB2312" w:cs="Times New Roman"/>
              <w:color w:val="auto"/>
              <w:sz w:val="28"/>
              <w:szCs w:val="28"/>
              <w:highlight w:val="none"/>
              <w:lang w:eastAsia="zh-CN"/>
            </w:rPr>
            <w:t>一、单位职责</w:t>
          </w:r>
          <w:r>
            <w:rPr>
              <w:rFonts w:hint="default" w:ascii="Times New Roman" w:hAnsi="Times New Roman" w:eastAsia="仿宋_GB2312" w:cs="Times New Roman"/>
              <w:color w:val="auto"/>
              <w:sz w:val="28"/>
              <w:szCs w:val="28"/>
              <w:highlight w:val="none"/>
              <w:lang w:eastAsia="zh-CN"/>
            </w:rPr>
            <w:tab/>
          </w:r>
          <w:r>
            <w:rPr>
              <w:rFonts w:hint="default" w:ascii="Times New Roman" w:hAnsi="Times New Roman" w:eastAsia="仿宋_GB2312" w:cs="Times New Roman"/>
              <w:color w:val="auto"/>
              <w:sz w:val="28"/>
              <w:szCs w:val="28"/>
              <w:highlight w:val="none"/>
              <w:lang w:eastAsia="zh-CN"/>
            </w:rPr>
            <w:fldChar w:fldCharType="begin"/>
          </w:r>
          <w:r>
            <w:rPr>
              <w:rFonts w:hint="default" w:ascii="Times New Roman" w:hAnsi="Times New Roman" w:eastAsia="仿宋_GB2312" w:cs="Times New Roman"/>
              <w:color w:val="auto"/>
              <w:sz w:val="28"/>
              <w:szCs w:val="28"/>
              <w:highlight w:val="none"/>
              <w:lang w:eastAsia="zh-CN"/>
            </w:rPr>
            <w:instrText xml:space="preserve"> PAGEREF _Toc31677 \h </w:instrText>
          </w:r>
          <w:r>
            <w:rPr>
              <w:rFonts w:hint="default" w:ascii="Times New Roman" w:hAnsi="Times New Roman" w:eastAsia="仿宋_GB2312" w:cs="Times New Roman"/>
              <w:color w:val="auto"/>
              <w:sz w:val="28"/>
              <w:szCs w:val="28"/>
              <w:highlight w:val="none"/>
              <w:lang w:eastAsia="zh-CN"/>
            </w:rPr>
            <w:fldChar w:fldCharType="separate"/>
          </w:r>
          <w:r>
            <w:rPr>
              <w:rFonts w:hint="default" w:ascii="Times New Roman" w:hAnsi="Times New Roman" w:eastAsia="仿宋_GB2312" w:cs="Times New Roman"/>
              <w:color w:val="auto"/>
              <w:sz w:val="28"/>
              <w:szCs w:val="28"/>
              <w:highlight w:val="none"/>
              <w:lang w:eastAsia="zh-CN"/>
            </w:rPr>
            <w:t>- 1 -</w:t>
          </w:r>
          <w:r>
            <w:rPr>
              <w:rFonts w:hint="default" w:ascii="Times New Roman" w:hAnsi="Times New Roman" w:eastAsia="仿宋_GB2312" w:cs="Times New Roman"/>
              <w:color w:val="auto"/>
              <w:sz w:val="28"/>
              <w:szCs w:val="28"/>
              <w:highlight w:val="none"/>
              <w:lang w:eastAsia="zh-CN"/>
            </w:rPr>
            <w:fldChar w:fldCharType="end"/>
          </w:r>
          <w:r>
            <w:rPr>
              <w:rFonts w:hint="default" w:ascii="Times New Roman" w:hAnsi="Times New Roman" w:eastAsia="仿宋_GB2312" w:cs="Times New Roman"/>
              <w:color w:val="auto"/>
              <w:sz w:val="28"/>
              <w:szCs w:val="28"/>
              <w:highlight w:val="none"/>
              <w:lang w:eastAsia="zh-CN"/>
            </w:rPr>
            <w:fldChar w:fldCharType="end"/>
          </w:r>
        </w:p>
        <w:p w14:paraId="649756D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28"/>
              <w:szCs w:val="28"/>
              <w:highlight w:val="none"/>
              <w:lang w:eastAsia="zh-CN"/>
            </w:rPr>
            <w:fldChar w:fldCharType="begin"/>
          </w:r>
          <w:r>
            <w:rPr>
              <w:rFonts w:hint="default" w:ascii="Times New Roman" w:hAnsi="Times New Roman" w:eastAsia="仿宋_GB2312" w:cs="Times New Roman"/>
              <w:color w:val="auto"/>
              <w:sz w:val="28"/>
              <w:szCs w:val="28"/>
              <w:highlight w:val="none"/>
              <w:lang w:eastAsia="zh-CN"/>
            </w:rPr>
            <w:instrText xml:space="preserve"> HYPERLINK \l _Toc5426 </w:instrText>
          </w:r>
          <w:r>
            <w:rPr>
              <w:rFonts w:hint="default" w:ascii="Times New Roman" w:hAnsi="Times New Roman" w:eastAsia="仿宋_GB2312" w:cs="Times New Roman"/>
              <w:color w:val="auto"/>
              <w:sz w:val="28"/>
              <w:szCs w:val="28"/>
              <w:highlight w:val="none"/>
              <w:lang w:eastAsia="zh-CN"/>
            </w:rPr>
            <w:fldChar w:fldCharType="separate"/>
          </w:r>
          <w:r>
            <w:rPr>
              <w:rFonts w:hint="default" w:ascii="Times New Roman" w:hAnsi="Times New Roman" w:eastAsia="仿宋_GB2312" w:cs="Times New Roman"/>
              <w:color w:val="auto"/>
              <w:sz w:val="28"/>
              <w:szCs w:val="28"/>
              <w:highlight w:val="none"/>
              <w:lang w:eastAsia="zh-CN"/>
            </w:rPr>
            <w:t>二、机构设置</w:t>
          </w:r>
          <w:r>
            <w:rPr>
              <w:rFonts w:hint="default" w:ascii="Times New Roman" w:hAnsi="Times New Roman" w:eastAsia="仿宋_GB2312" w:cs="Times New Roman"/>
              <w:color w:val="auto"/>
              <w:sz w:val="28"/>
              <w:szCs w:val="28"/>
              <w:highlight w:val="none"/>
              <w:lang w:eastAsia="zh-CN"/>
            </w:rPr>
            <w:tab/>
          </w:r>
          <w:r>
            <w:rPr>
              <w:rFonts w:hint="default" w:ascii="Times New Roman" w:hAnsi="Times New Roman" w:eastAsia="仿宋_GB2312" w:cs="Times New Roman"/>
              <w:color w:val="auto"/>
              <w:sz w:val="28"/>
              <w:szCs w:val="28"/>
              <w:highlight w:val="none"/>
              <w:lang w:eastAsia="zh-CN"/>
            </w:rPr>
            <w:fldChar w:fldCharType="begin"/>
          </w:r>
          <w:r>
            <w:rPr>
              <w:rFonts w:hint="default" w:ascii="Times New Roman" w:hAnsi="Times New Roman" w:eastAsia="仿宋_GB2312" w:cs="Times New Roman"/>
              <w:color w:val="auto"/>
              <w:sz w:val="28"/>
              <w:szCs w:val="28"/>
              <w:highlight w:val="none"/>
              <w:lang w:eastAsia="zh-CN"/>
            </w:rPr>
            <w:instrText xml:space="preserve"> PAGEREF _Toc5426 \h </w:instrText>
          </w:r>
          <w:r>
            <w:rPr>
              <w:rFonts w:hint="default" w:ascii="Times New Roman" w:hAnsi="Times New Roman" w:eastAsia="仿宋_GB2312" w:cs="Times New Roman"/>
              <w:color w:val="auto"/>
              <w:sz w:val="28"/>
              <w:szCs w:val="28"/>
              <w:highlight w:val="none"/>
              <w:lang w:eastAsia="zh-CN"/>
            </w:rPr>
            <w:fldChar w:fldCharType="separate"/>
          </w:r>
          <w:r>
            <w:rPr>
              <w:rFonts w:hint="default" w:ascii="Times New Roman" w:hAnsi="Times New Roman" w:eastAsia="仿宋_GB2312" w:cs="Times New Roman"/>
              <w:color w:val="auto"/>
              <w:sz w:val="28"/>
              <w:szCs w:val="28"/>
              <w:highlight w:val="none"/>
              <w:lang w:eastAsia="zh-CN"/>
            </w:rPr>
            <w:t>- 3 -</w:t>
          </w:r>
          <w:r>
            <w:rPr>
              <w:rFonts w:hint="default" w:ascii="Times New Roman" w:hAnsi="Times New Roman" w:eastAsia="仿宋_GB2312" w:cs="Times New Roman"/>
              <w:color w:val="auto"/>
              <w:sz w:val="28"/>
              <w:szCs w:val="28"/>
              <w:highlight w:val="none"/>
              <w:lang w:eastAsia="zh-CN"/>
            </w:rPr>
            <w:fldChar w:fldCharType="end"/>
          </w:r>
          <w:r>
            <w:rPr>
              <w:rFonts w:hint="default" w:ascii="Times New Roman" w:hAnsi="Times New Roman" w:eastAsia="仿宋_GB2312" w:cs="Times New Roman"/>
              <w:color w:val="auto"/>
              <w:sz w:val="28"/>
              <w:szCs w:val="28"/>
              <w:highlight w:val="none"/>
              <w:lang w:eastAsia="zh-CN"/>
            </w:rPr>
            <w:fldChar w:fldCharType="end"/>
          </w:r>
        </w:p>
        <w:p w14:paraId="1B38A91A">
          <w:pPr>
            <w:pStyle w:val="13"/>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_Toc22070 </w:instrText>
          </w:r>
          <w:r>
            <w:rPr>
              <w:rFonts w:hint="default" w:ascii="Times New Roman" w:hAnsi="Times New Roman" w:cs="Times New Roman"/>
            </w:rPr>
            <w:fldChar w:fldCharType="separate"/>
          </w:r>
          <w:r>
            <w:rPr>
              <w:rFonts w:hint="default" w:ascii="Times New Roman" w:hAnsi="Times New Roman" w:eastAsia="方正小标宋简体" w:cs="Times New Roman"/>
              <w:highlight w:val="none"/>
            </w:rPr>
            <w:t>第二部分</w:t>
          </w:r>
          <w:r>
            <w:rPr>
              <w:rFonts w:hint="default" w:ascii="Times New Roman" w:hAnsi="Times New Roman" w:eastAsia="方正小标宋简体" w:cs="Times New Roman"/>
              <w:highlight w:val="none"/>
              <w:lang w:val="en-US" w:eastAsia="zh-CN"/>
            </w:rPr>
            <w:t xml:space="preserve"> </w:t>
          </w:r>
          <w:r>
            <w:rPr>
              <w:rFonts w:hint="default" w:ascii="Times New Roman" w:hAnsi="Times New Roman" w:eastAsia="方正小标宋简体" w:cs="Times New Roman"/>
              <w:highlight w:val="none"/>
            </w:rPr>
            <w:t xml:space="preserve"> </w:t>
          </w:r>
          <w:r>
            <w:rPr>
              <w:rFonts w:hint="default" w:ascii="Times New Roman" w:hAnsi="Times New Roman" w:eastAsia="方正小标宋简体" w:cs="Times New Roman"/>
              <w:highlight w:val="none"/>
              <w:lang w:val="en-US" w:eastAsia="zh-CN"/>
            </w:rPr>
            <w:t>2024年度单位</w:t>
          </w:r>
          <w:r>
            <w:rPr>
              <w:rFonts w:hint="default" w:ascii="Times New Roman" w:hAnsi="Times New Roman" w:eastAsia="方正小标宋简体" w:cs="Times New Roman"/>
              <w:highlight w:val="none"/>
            </w:rPr>
            <w:t>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_Toc22070 \h </w:instrText>
          </w:r>
          <w:r>
            <w:rPr>
              <w:rFonts w:hint="default" w:ascii="Times New Roman" w:hAnsi="Times New Roman" w:cs="Times New Roman"/>
            </w:rPr>
            <w:fldChar w:fldCharType="separate"/>
          </w:r>
          <w:r>
            <w:rPr>
              <w:rFonts w:hint="default" w:ascii="Times New Roman" w:hAnsi="Times New Roman" w:cs="Times New Roman"/>
            </w:rPr>
            <w:t>- 4 -</w:t>
          </w:r>
          <w:r>
            <w:rPr>
              <w:rFonts w:hint="default" w:ascii="Times New Roman" w:hAnsi="Times New Roman" w:cs="Times New Roman"/>
            </w:rPr>
            <w:fldChar w:fldCharType="end"/>
          </w:r>
          <w:r>
            <w:rPr>
              <w:rFonts w:hint="default" w:ascii="Times New Roman" w:hAnsi="Times New Roman" w:cs="Times New Roman"/>
            </w:rPr>
            <w:fldChar w:fldCharType="end"/>
          </w:r>
        </w:p>
        <w:p w14:paraId="10A1026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HYPERLINK \l _Toc5420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lang w:eastAsia="zh-CN"/>
            </w:rPr>
            <w:t>一、</w:t>
          </w:r>
          <w:r>
            <w:rPr>
              <w:rFonts w:hint="default" w:ascii="Times New Roman" w:hAnsi="Times New Roman" w:eastAsia="仿宋_GB2312" w:cs="Times New Roman"/>
              <w:color w:val="auto"/>
              <w:sz w:val="28"/>
              <w:szCs w:val="28"/>
              <w:highlight w:val="none"/>
            </w:rPr>
            <w:t>收入支出决算总体情况说明</w:t>
          </w:r>
          <w:r>
            <w:rPr>
              <w:rFonts w:hint="default" w:ascii="Times New Roman" w:hAnsi="Times New Roman" w:eastAsia="仿宋_GB2312" w:cs="Times New Roman"/>
              <w:color w:val="auto"/>
              <w:sz w:val="28"/>
              <w:szCs w:val="28"/>
              <w:highlight w:val="none"/>
            </w:rPr>
            <w:tab/>
          </w: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PAGEREF _Toc5420 \h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- 4 -</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rPr>
            <w:fldChar w:fldCharType="end"/>
          </w:r>
        </w:p>
        <w:p w14:paraId="4193164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HYPERLINK \l _Toc5046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lang w:eastAsia="zh-CN"/>
            </w:rPr>
            <w:t>二、收入决算情况说明</w:t>
          </w:r>
          <w:r>
            <w:rPr>
              <w:rFonts w:hint="default" w:ascii="Times New Roman" w:hAnsi="Times New Roman" w:eastAsia="仿宋_GB2312" w:cs="Times New Roman"/>
              <w:color w:val="auto"/>
              <w:sz w:val="28"/>
              <w:szCs w:val="28"/>
              <w:highlight w:val="none"/>
            </w:rPr>
            <w:tab/>
          </w: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PAGEREF _Toc5046 \h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- 4 -</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rPr>
            <w:fldChar w:fldCharType="end"/>
          </w:r>
        </w:p>
        <w:p w14:paraId="58BBF11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HYPERLINK \l _Toc24966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lang w:eastAsia="zh-CN"/>
            </w:rPr>
            <w:t>三、</w:t>
          </w:r>
          <w:r>
            <w:rPr>
              <w:rFonts w:hint="default" w:ascii="Times New Roman" w:hAnsi="Times New Roman" w:eastAsia="仿宋_GB2312" w:cs="Times New Roman"/>
              <w:color w:val="auto"/>
              <w:sz w:val="28"/>
              <w:szCs w:val="28"/>
              <w:highlight w:val="none"/>
            </w:rPr>
            <w:t>支出决算情况说明</w:t>
          </w:r>
          <w:r>
            <w:rPr>
              <w:rFonts w:hint="default" w:ascii="Times New Roman" w:hAnsi="Times New Roman" w:eastAsia="仿宋_GB2312" w:cs="Times New Roman"/>
              <w:color w:val="auto"/>
              <w:sz w:val="28"/>
              <w:szCs w:val="28"/>
              <w:highlight w:val="none"/>
            </w:rPr>
            <w:tab/>
          </w: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PAGEREF _Toc24966 \h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- 5 -</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rPr>
            <w:fldChar w:fldCharType="end"/>
          </w:r>
        </w:p>
        <w:p w14:paraId="0FDA4F3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HYPERLINK \l _Toc26811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四、财政拨款收入支出决算总体情况说明</w:t>
          </w:r>
          <w:r>
            <w:rPr>
              <w:rFonts w:hint="default" w:ascii="Times New Roman" w:hAnsi="Times New Roman" w:eastAsia="仿宋_GB2312" w:cs="Times New Roman"/>
              <w:color w:val="auto"/>
              <w:sz w:val="28"/>
              <w:szCs w:val="28"/>
              <w:highlight w:val="none"/>
            </w:rPr>
            <w:tab/>
          </w: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PAGEREF _Toc26811 \h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- 6 -</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rPr>
            <w:fldChar w:fldCharType="end"/>
          </w:r>
        </w:p>
        <w:p w14:paraId="043EA6C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HYPERLINK \l _Toc23135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五、一般公共预算财政拨款支出决算情况说明</w:t>
          </w:r>
          <w:r>
            <w:rPr>
              <w:rFonts w:hint="default" w:ascii="Times New Roman" w:hAnsi="Times New Roman" w:eastAsia="仿宋_GB2312" w:cs="Times New Roman"/>
              <w:color w:val="auto"/>
              <w:sz w:val="28"/>
              <w:szCs w:val="28"/>
              <w:highlight w:val="none"/>
            </w:rPr>
            <w:tab/>
          </w: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PAGEREF _Toc23135 \h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- 7 -</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rPr>
            <w:fldChar w:fldCharType="end"/>
          </w:r>
        </w:p>
        <w:p w14:paraId="089091C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HYPERLINK \l _Toc11175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六、一般公共预算财政拨款基本支出决算情况说明</w:t>
          </w:r>
          <w:r>
            <w:rPr>
              <w:rFonts w:hint="default" w:ascii="Times New Roman" w:hAnsi="Times New Roman" w:eastAsia="仿宋_GB2312" w:cs="Times New Roman"/>
              <w:color w:val="auto"/>
              <w:sz w:val="28"/>
              <w:szCs w:val="28"/>
              <w:highlight w:val="none"/>
            </w:rPr>
            <w:tab/>
          </w: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PAGEREF _Toc11175 \h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- 10 -</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rPr>
            <w:fldChar w:fldCharType="end"/>
          </w:r>
        </w:p>
        <w:p w14:paraId="3636C09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HYPERLINK \l _Toc14522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七、财政拨款“三公”经费支出决算情况说明</w:t>
          </w:r>
          <w:r>
            <w:rPr>
              <w:rFonts w:hint="default" w:ascii="Times New Roman" w:hAnsi="Times New Roman" w:eastAsia="仿宋_GB2312" w:cs="Times New Roman"/>
              <w:color w:val="auto"/>
              <w:sz w:val="28"/>
              <w:szCs w:val="28"/>
              <w:highlight w:val="none"/>
            </w:rPr>
            <w:tab/>
          </w: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PAGEREF _Toc14522 \h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- 11 -</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rPr>
            <w:fldChar w:fldCharType="end"/>
          </w:r>
        </w:p>
        <w:p w14:paraId="15638A6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HYPERLINK \l _Toc21705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八、政府性基金预算支出决算情况说明</w:t>
          </w:r>
          <w:r>
            <w:rPr>
              <w:rFonts w:hint="default" w:ascii="Times New Roman" w:hAnsi="Times New Roman" w:eastAsia="仿宋_GB2312" w:cs="Times New Roman"/>
              <w:color w:val="auto"/>
              <w:sz w:val="28"/>
              <w:szCs w:val="28"/>
              <w:highlight w:val="none"/>
            </w:rPr>
            <w:tab/>
          </w: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PAGEREF _Toc21705 \h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- 12 -</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rPr>
            <w:fldChar w:fldCharType="end"/>
          </w:r>
        </w:p>
        <w:p w14:paraId="2DF6D87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HYPERLINK \l _Toc25621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lang w:eastAsia="zh-CN"/>
            </w:rPr>
            <w:t>九、</w:t>
          </w:r>
          <w:r>
            <w:rPr>
              <w:rFonts w:hint="default" w:ascii="Times New Roman" w:hAnsi="Times New Roman" w:eastAsia="仿宋_GB2312" w:cs="Times New Roman"/>
              <w:color w:val="auto"/>
              <w:sz w:val="28"/>
              <w:szCs w:val="28"/>
              <w:highlight w:val="none"/>
            </w:rPr>
            <w:t>国有资本经营预算支出决算情况说明</w:t>
          </w:r>
          <w:r>
            <w:rPr>
              <w:rFonts w:hint="default" w:ascii="Times New Roman" w:hAnsi="Times New Roman" w:eastAsia="仿宋_GB2312" w:cs="Times New Roman"/>
              <w:color w:val="auto"/>
              <w:sz w:val="28"/>
              <w:szCs w:val="28"/>
              <w:highlight w:val="none"/>
            </w:rPr>
            <w:tab/>
          </w:r>
          <w:r>
            <w:rPr>
              <w:rFonts w:hint="default" w:ascii="Times New Roman" w:hAnsi="Times New Roman" w:eastAsia="仿宋_GB2312" w:cs="Times New Roman"/>
              <w:color w:val="auto"/>
              <w:sz w:val="28"/>
              <w:szCs w:val="28"/>
              <w:highlight w:val="none"/>
            </w:rPr>
            <w:fldChar w:fldCharType="begin"/>
          </w:r>
          <w:r>
            <w:rPr>
              <w:rFonts w:hint="default" w:ascii="Times New Roman" w:hAnsi="Times New Roman" w:eastAsia="仿宋_GB2312" w:cs="Times New Roman"/>
              <w:color w:val="auto"/>
              <w:sz w:val="28"/>
              <w:szCs w:val="28"/>
              <w:highlight w:val="none"/>
            </w:rPr>
            <w:instrText xml:space="preserve"> PAGEREF _Toc25621 \h </w:instrText>
          </w:r>
          <w:r>
            <w:rPr>
              <w:rFonts w:hint="default" w:ascii="Times New Roman" w:hAnsi="Times New Roman" w:eastAsia="仿宋_GB2312" w:cs="Times New Roman"/>
              <w:color w:val="auto"/>
              <w:sz w:val="28"/>
              <w:szCs w:val="28"/>
              <w:highlight w:val="none"/>
            </w:rPr>
            <w:fldChar w:fldCharType="separate"/>
          </w:r>
          <w:r>
            <w:rPr>
              <w:rFonts w:hint="default" w:ascii="Times New Roman" w:hAnsi="Times New Roman" w:eastAsia="仿宋_GB2312" w:cs="Times New Roman"/>
              <w:color w:val="auto"/>
              <w:sz w:val="28"/>
              <w:szCs w:val="28"/>
              <w:highlight w:val="none"/>
            </w:rPr>
            <w:t>- 13 -</w:t>
          </w:r>
          <w:r>
            <w:rPr>
              <w:rFonts w:hint="default" w:ascii="Times New Roman" w:hAnsi="Times New Roman" w:eastAsia="仿宋_GB2312" w:cs="Times New Roman"/>
              <w:color w:val="auto"/>
              <w:sz w:val="28"/>
              <w:szCs w:val="28"/>
              <w:highlight w:val="none"/>
            </w:rPr>
            <w:fldChar w:fldCharType="end"/>
          </w:r>
          <w:r>
            <w:rPr>
              <w:rFonts w:hint="default" w:ascii="Times New Roman" w:hAnsi="Times New Roman" w:eastAsia="仿宋_GB2312" w:cs="Times New Roman"/>
              <w:color w:val="auto"/>
              <w:sz w:val="28"/>
              <w:szCs w:val="28"/>
              <w:highlight w:val="none"/>
            </w:rPr>
            <w:fldChar w:fldCharType="end"/>
          </w:r>
        </w:p>
        <w:p w14:paraId="56E8F00D">
          <w:pPr>
            <w:pStyle w:val="13"/>
            <w:tabs>
              <w:tab w:val="right" w:leader="dot" w:pos="8306"/>
              <w:tab w:val="clear" w:pos="8296"/>
            </w:tabs>
            <w:rPr>
              <w:rFonts w:hint="default" w:ascii="Times New Roman" w:hAnsi="Times New Roman" w:cs="Times New Roman"/>
              <w:sz w:val="28"/>
              <w:szCs w:val="28"/>
            </w:rPr>
          </w:pPr>
          <w:r>
            <w:rPr>
              <w:rFonts w:hint="default" w:ascii="Times New Roman" w:hAnsi="Times New Roman" w:eastAsia="仿宋_GB2312" w:cs="Times New Roman"/>
              <w:color w:val="auto"/>
              <w:kern w:val="2"/>
              <w:sz w:val="28"/>
              <w:szCs w:val="28"/>
              <w:highlight w:val="none"/>
              <w:lang w:val="en-US" w:eastAsia="zh-CN" w:bidi="ar-SA"/>
            </w:rPr>
            <w:t xml:space="preserve">    </w:t>
          </w:r>
          <w:r>
            <w:rPr>
              <w:rFonts w:hint="default" w:ascii="Times New Roman" w:hAnsi="Times New Roman" w:eastAsia="仿宋_GB2312" w:cs="Times New Roman"/>
              <w:color w:val="auto"/>
              <w:kern w:val="2"/>
              <w:sz w:val="28"/>
              <w:szCs w:val="28"/>
              <w:highlight w:val="none"/>
              <w:lang w:val="en-US" w:eastAsia="zh-CN" w:bidi="ar-SA"/>
            </w:rPr>
            <w:fldChar w:fldCharType="begin"/>
          </w:r>
          <w:r>
            <w:rPr>
              <w:rFonts w:hint="default" w:ascii="Times New Roman" w:hAnsi="Times New Roman" w:eastAsia="仿宋_GB2312" w:cs="Times New Roman"/>
              <w:color w:val="auto"/>
              <w:kern w:val="2"/>
              <w:sz w:val="28"/>
              <w:szCs w:val="28"/>
              <w:highlight w:val="none"/>
              <w:lang w:val="en-US" w:eastAsia="zh-CN" w:bidi="ar-SA"/>
            </w:rPr>
            <w:instrText xml:space="preserve"> HYPERLINK \l _Toc26247 </w:instrText>
          </w:r>
          <w:r>
            <w:rPr>
              <w:rFonts w:hint="default" w:ascii="Times New Roman" w:hAnsi="Times New Roman" w:eastAsia="仿宋_GB2312" w:cs="Times New Roman"/>
              <w:color w:val="auto"/>
              <w:kern w:val="2"/>
              <w:sz w:val="28"/>
              <w:szCs w:val="28"/>
              <w:highlight w:val="none"/>
              <w:lang w:val="en-US" w:eastAsia="zh-CN" w:bidi="ar-SA"/>
            </w:rPr>
            <w:fldChar w:fldCharType="separate"/>
          </w:r>
          <w:r>
            <w:rPr>
              <w:rFonts w:hint="default" w:ascii="Times New Roman" w:hAnsi="Times New Roman" w:eastAsia="仿宋_GB2312" w:cs="Times New Roman"/>
              <w:color w:val="auto"/>
              <w:kern w:val="2"/>
              <w:sz w:val="28"/>
              <w:szCs w:val="28"/>
              <w:highlight w:val="none"/>
              <w:lang w:val="en-US" w:eastAsia="zh-CN" w:bidi="ar-SA"/>
            </w:rPr>
            <w:t>十、其他重要事项的情况说明</w:t>
          </w:r>
          <w:r>
            <w:rPr>
              <w:rFonts w:hint="default" w:ascii="Times New Roman" w:hAnsi="Times New Roman" w:eastAsia="仿宋_GB2312" w:cs="Times New Roman"/>
              <w:color w:val="auto"/>
              <w:kern w:val="2"/>
              <w:sz w:val="28"/>
              <w:szCs w:val="28"/>
              <w:highlight w:val="none"/>
              <w:lang w:val="en-US" w:eastAsia="zh-CN" w:bidi="ar-SA"/>
            </w:rPr>
            <w:tab/>
          </w:r>
          <w:r>
            <w:rPr>
              <w:rFonts w:hint="default" w:ascii="Times New Roman" w:hAnsi="Times New Roman" w:eastAsia="仿宋_GB2312" w:cs="Times New Roman"/>
              <w:color w:val="auto"/>
              <w:kern w:val="2"/>
              <w:sz w:val="28"/>
              <w:szCs w:val="28"/>
              <w:highlight w:val="none"/>
              <w:lang w:val="en-US" w:eastAsia="zh-CN" w:bidi="ar-SA"/>
            </w:rPr>
            <w:fldChar w:fldCharType="begin"/>
          </w:r>
          <w:r>
            <w:rPr>
              <w:rFonts w:hint="default" w:ascii="Times New Roman" w:hAnsi="Times New Roman" w:eastAsia="仿宋_GB2312" w:cs="Times New Roman"/>
              <w:color w:val="auto"/>
              <w:kern w:val="2"/>
              <w:sz w:val="28"/>
              <w:szCs w:val="28"/>
              <w:highlight w:val="none"/>
              <w:lang w:val="en-US" w:eastAsia="zh-CN" w:bidi="ar-SA"/>
            </w:rPr>
            <w:instrText xml:space="preserve"> PAGEREF _Toc26247 \h </w:instrText>
          </w:r>
          <w:r>
            <w:rPr>
              <w:rFonts w:hint="default" w:ascii="Times New Roman" w:hAnsi="Times New Roman" w:eastAsia="仿宋_GB2312" w:cs="Times New Roman"/>
              <w:color w:val="auto"/>
              <w:kern w:val="2"/>
              <w:sz w:val="28"/>
              <w:szCs w:val="28"/>
              <w:highlight w:val="none"/>
              <w:lang w:val="en-US" w:eastAsia="zh-CN" w:bidi="ar-SA"/>
            </w:rPr>
            <w:fldChar w:fldCharType="separate"/>
          </w:r>
          <w:r>
            <w:rPr>
              <w:rFonts w:hint="default" w:ascii="Times New Roman" w:hAnsi="Times New Roman" w:eastAsia="仿宋_GB2312" w:cs="Times New Roman"/>
              <w:color w:val="auto"/>
              <w:kern w:val="2"/>
              <w:sz w:val="28"/>
              <w:szCs w:val="28"/>
              <w:highlight w:val="none"/>
              <w:lang w:val="en-US" w:eastAsia="zh-CN" w:bidi="ar-SA"/>
            </w:rPr>
            <w:t>- 13 -</w:t>
          </w:r>
          <w:r>
            <w:rPr>
              <w:rFonts w:hint="default" w:ascii="Times New Roman" w:hAnsi="Times New Roman" w:eastAsia="仿宋_GB2312" w:cs="Times New Roman"/>
              <w:color w:val="auto"/>
              <w:kern w:val="2"/>
              <w:sz w:val="28"/>
              <w:szCs w:val="28"/>
              <w:highlight w:val="none"/>
              <w:lang w:val="en-US" w:eastAsia="zh-CN" w:bidi="ar-SA"/>
            </w:rPr>
            <w:fldChar w:fldCharType="end"/>
          </w:r>
          <w:r>
            <w:rPr>
              <w:rFonts w:hint="default" w:ascii="Times New Roman" w:hAnsi="Times New Roman" w:eastAsia="仿宋_GB2312" w:cs="Times New Roman"/>
              <w:color w:val="auto"/>
              <w:kern w:val="2"/>
              <w:sz w:val="28"/>
              <w:szCs w:val="28"/>
              <w:highlight w:val="none"/>
              <w:lang w:val="en-US" w:eastAsia="zh-CN" w:bidi="ar-SA"/>
            </w:rPr>
            <w:fldChar w:fldCharType="end"/>
          </w:r>
        </w:p>
        <w:p w14:paraId="017D9F42">
          <w:pPr>
            <w:pStyle w:val="13"/>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_Toc30462 </w:instrText>
          </w:r>
          <w:r>
            <w:rPr>
              <w:rFonts w:hint="default" w:ascii="Times New Roman" w:hAnsi="Times New Roman" w:cs="Times New Roman"/>
            </w:rPr>
            <w:fldChar w:fldCharType="separate"/>
          </w:r>
          <w:r>
            <w:rPr>
              <w:rFonts w:hint="default" w:ascii="Times New Roman" w:hAnsi="Times New Roman" w:eastAsia="黑体" w:cs="Times New Roman"/>
              <w:szCs w:val="44"/>
              <w:highlight w:val="none"/>
            </w:rPr>
            <w:t>第</w:t>
          </w:r>
          <w:r>
            <w:rPr>
              <w:rFonts w:hint="default" w:ascii="Times New Roman" w:hAnsi="Times New Roman" w:eastAsia="黑体" w:cs="Times New Roman"/>
              <w:szCs w:val="44"/>
              <w:highlight w:val="none"/>
              <w:lang w:eastAsia="zh-CN"/>
            </w:rPr>
            <w:t>三</w:t>
          </w:r>
          <w:r>
            <w:rPr>
              <w:rFonts w:hint="default" w:ascii="Times New Roman" w:hAnsi="Times New Roman" w:eastAsia="黑体" w:cs="Times New Roman"/>
              <w:szCs w:val="44"/>
              <w:highlight w:val="none"/>
            </w:rPr>
            <w:t>部分</w:t>
          </w:r>
          <w:r>
            <w:rPr>
              <w:rFonts w:hint="default" w:ascii="Times New Roman" w:hAnsi="Times New Roman" w:eastAsia="黑体" w:cs="Times New Roman"/>
              <w:szCs w:val="44"/>
              <w:highlight w:val="none"/>
              <w:lang w:val="en-US" w:eastAsia="zh-CN"/>
            </w:rPr>
            <w:t xml:space="preserve">  </w:t>
          </w:r>
          <w:r>
            <w:rPr>
              <w:rFonts w:hint="default" w:ascii="Times New Roman" w:hAnsi="Times New Roman" w:eastAsia="黑体" w:cs="Times New Roman"/>
              <w:szCs w:val="44"/>
              <w:highlight w:val="none"/>
            </w:rPr>
            <w:t>名词解释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_Toc30462 \h </w:instrText>
          </w:r>
          <w:r>
            <w:rPr>
              <w:rFonts w:hint="default" w:ascii="Times New Roman" w:hAnsi="Times New Roman" w:cs="Times New Roman"/>
            </w:rPr>
            <w:fldChar w:fldCharType="separate"/>
          </w:r>
          <w:r>
            <w:rPr>
              <w:rFonts w:hint="default" w:ascii="Times New Roman" w:hAnsi="Times New Roman" w:cs="Times New Roman"/>
            </w:rPr>
            <w:t>- 15 -</w:t>
          </w:r>
          <w:r>
            <w:rPr>
              <w:rFonts w:hint="default" w:ascii="Times New Roman" w:hAnsi="Times New Roman" w:cs="Times New Roman"/>
            </w:rPr>
            <w:fldChar w:fldCharType="end"/>
          </w:r>
          <w:r>
            <w:rPr>
              <w:rFonts w:hint="default" w:ascii="Times New Roman" w:hAnsi="Times New Roman" w:cs="Times New Roman"/>
            </w:rPr>
            <w:fldChar w:fldCharType="end"/>
          </w:r>
        </w:p>
        <w:p w14:paraId="238821A6">
          <w:pPr>
            <w:pStyle w:val="13"/>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_Toc29689 </w:instrText>
          </w:r>
          <w:r>
            <w:rPr>
              <w:rFonts w:hint="default" w:ascii="Times New Roman" w:hAnsi="Times New Roman" w:cs="Times New Roman"/>
            </w:rPr>
            <w:fldChar w:fldCharType="separate"/>
          </w:r>
          <w:r>
            <w:rPr>
              <w:rFonts w:hint="default" w:ascii="Times New Roman" w:hAnsi="Times New Roman" w:eastAsia="黑体" w:cs="Times New Roman"/>
              <w:szCs w:val="44"/>
              <w:highlight w:val="none"/>
            </w:rPr>
            <w:t>第四部分</w:t>
          </w:r>
          <w:r>
            <w:rPr>
              <w:rFonts w:hint="default" w:ascii="Times New Roman" w:hAnsi="Times New Roman" w:eastAsia="黑体" w:cs="Times New Roman"/>
              <w:szCs w:val="44"/>
              <w:highlight w:val="none"/>
              <w:lang w:val="en-US" w:eastAsia="zh-CN"/>
            </w:rPr>
            <w:t xml:space="preserve"> </w:t>
          </w:r>
          <w:r>
            <w:rPr>
              <w:rFonts w:hint="default" w:ascii="Times New Roman" w:hAnsi="Times New Roman" w:eastAsia="黑体" w:cs="Times New Roman"/>
              <w:szCs w:val="44"/>
              <w:highlight w:val="none"/>
            </w:rPr>
            <w:t xml:space="preserve"> 附件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_Toc29689 \h </w:instrText>
          </w:r>
          <w:r>
            <w:rPr>
              <w:rFonts w:hint="default" w:ascii="Times New Roman" w:hAnsi="Times New Roman" w:cs="Times New Roman"/>
            </w:rPr>
            <w:fldChar w:fldCharType="separate"/>
          </w:r>
          <w:r>
            <w:rPr>
              <w:rFonts w:hint="default" w:ascii="Times New Roman" w:hAnsi="Times New Roman" w:cs="Times New Roman"/>
            </w:rPr>
            <w:t>- 19 -</w:t>
          </w:r>
          <w:r>
            <w:rPr>
              <w:rFonts w:hint="default" w:ascii="Times New Roman" w:hAnsi="Times New Roman" w:cs="Times New Roman"/>
            </w:rPr>
            <w:fldChar w:fldCharType="end"/>
          </w:r>
          <w:r>
            <w:rPr>
              <w:rFonts w:hint="default" w:ascii="Times New Roman" w:hAnsi="Times New Roman" w:cs="Times New Roman"/>
            </w:rPr>
            <w:fldChar w:fldCharType="end"/>
          </w:r>
        </w:p>
        <w:p w14:paraId="208D8B32">
          <w:pPr>
            <w:pStyle w:val="13"/>
            <w:tabs>
              <w:tab w:val="right" w:leader="dot" w:pos="8306"/>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_Toc27424 </w:instrText>
          </w:r>
          <w:r>
            <w:rPr>
              <w:rFonts w:hint="default" w:ascii="Times New Roman" w:hAnsi="Times New Roman" w:cs="Times New Roman"/>
            </w:rPr>
            <w:fldChar w:fldCharType="separate"/>
          </w:r>
          <w:r>
            <w:rPr>
              <w:rFonts w:hint="default" w:ascii="Times New Roman" w:hAnsi="Times New Roman" w:eastAsia="黑体" w:cs="Times New Roman"/>
              <w:szCs w:val="44"/>
              <w:highlight w:val="none"/>
            </w:rPr>
            <w:t>第</w:t>
          </w:r>
          <w:r>
            <w:rPr>
              <w:rFonts w:hint="default" w:ascii="Times New Roman" w:hAnsi="Times New Roman" w:eastAsia="黑体" w:cs="Times New Roman"/>
              <w:highlight w:val="none"/>
            </w:rPr>
            <w:t>五部分 附表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_Toc27424 \h </w:instrText>
          </w:r>
          <w:r>
            <w:rPr>
              <w:rFonts w:hint="default" w:ascii="Times New Roman" w:hAnsi="Times New Roman" w:cs="Times New Roman"/>
            </w:rPr>
            <w:fldChar w:fldCharType="separate"/>
          </w:r>
          <w:r>
            <w:rPr>
              <w:rFonts w:hint="default" w:ascii="Times New Roman" w:hAnsi="Times New Roman" w:cs="Times New Roman"/>
            </w:rPr>
            <w:t>- 20 -</w:t>
          </w:r>
          <w:r>
            <w:rPr>
              <w:rFonts w:hint="default" w:ascii="Times New Roman" w:hAnsi="Times New Roman" w:cs="Times New Roman"/>
            </w:rPr>
            <w:fldChar w:fldCharType="end"/>
          </w:r>
          <w:r>
            <w:rPr>
              <w:rFonts w:hint="default" w:ascii="Times New Roman" w:hAnsi="Times New Roman" w:cs="Times New Roman"/>
            </w:rPr>
            <w:fldChar w:fldCharType="end"/>
          </w:r>
        </w:p>
        <w:p w14:paraId="66E0DB5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cs="Times New Roma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color w:val="auto"/>
              <w:sz w:val="28"/>
              <w:szCs w:val="28"/>
              <w:highlight w:val="none"/>
            </w:rPr>
            <w:t>一、收入支出决算总表</w:t>
          </w:r>
          <w:r>
            <w:rPr>
              <w:rFonts w:hint="default" w:ascii="Times New Roman" w:hAnsi="Times New Roman" w:eastAsia="仿宋_GB2312" w:cs="Times New Roman"/>
              <w:color w:val="auto"/>
              <w:kern w:val="2"/>
              <w:sz w:val="28"/>
              <w:szCs w:val="28"/>
              <w:highlight w:val="none"/>
              <w:lang w:val="en-US" w:eastAsia="zh-CN" w:bidi="ar-SA"/>
            </w:rPr>
            <w:tab/>
          </w:r>
          <w:r>
            <w:rPr>
              <w:rFonts w:hint="default" w:ascii="Times New Roman" w:hAnsi="Times New Roman" w:eastAsia="仿宋_GB2312" w:cs="Times New Roman"/>
              <w:color w:val="auto"/>
              <w:kern w:val="2"/>
              <w:sz w:val="28"/>
              <w:szCs w:val="28"/>
              <w:highlight w:val="none"/>
              <w:lang w:val="en-US" w:eastAsia="zh-CN" w:bidi="ar-SA"/>
            </w:rPr>
            <w:fldChar w:fldCharType="begin"/>
          </w:r>
          <w:r>
            <w:rPr>
              <w:rFonts w:hint="default" w:ascii="Times New Roman" w:hAnsi="Times New Roman" w:eastAsia="仿宋_GB2312" w:cs="Times New Roman"/>
              <w:color w:val="auto"/>
              <w:kern w:val="2"/>
              <w:sz w:val="28"/>
              <w:szCs w:val="28"/>
              <w:highlight w:val="none"/>
              <w:lang w:val="en-US" w:eastAsia="zh-CN" w:bidi="ar-SA"/>
            </w:rPr>
            <w:instrText xml:space="preserve"> PAGEREF _Toc26247 \h </w:instrText>
          </w:r>
          <w:r>
            <w:rPr>
              <w:rFonts w:hint="default" w:ascii="Times New Roman" w:hAnsi="Times New Roman" w:eastAsia="仿宋_GB2312" w:cs="Times New Roman"/>
              <w:color w:val="auto"/>
              <w:kern w:val="2"/>
              <w:sz w:val="28"/>
              <w:szCs w:val="28"/>
              <w:highlight w:val="none"/>
              <w:lang w:val="en-US" w:eastAsia="zh-CN" w:bidi="ar-SA"/>
            </w:rPr>
            <w:fldChar w:fldCharType="separate"/>
          </w:r>
          <w:r>
            <w:rPr>
              <w:rFonts w:hint="default" w:ascii="Times New Roman" w:hAnsi="Times New Roman" w:eastAsia="仿宋_GB2312" w:cs="Times New Roman"/>
              <w:color w:val="auto"/>
              <w:kern w:val="2"/>
              <w:sz w:val="28"/>
              <w:szCs w:val="28"/>
              <w:highlight w:val="none"/>
              <w:lang w:val="en-US" w:eastAsia="zh-CN" w:bidi="ar-SA"/>
            </w:rPr>
            <w:t>- 13 -</w:t>
          </w:r>
          <w:r>
            <w:rPr>
              <w:rFonts w:hint="default" w:ascii="Times New Roman" w:hAnsi="Times New Roman" w:eastAsia="仿宋_GB2312" w:cs="Times New Roman"/>
              <w:color w:val="auto"/>
              <w:kern w:val="2"/>
              <w:sz w:val="28"/>
              <w:szCs w:val="28"/>
              <w:highlight w:val="none"/>
              <w:lang w:val="en-US" w:eastAsia="zh-CN" w:bidi="ar-SA"/>
            </w:rPr>
            <w:fldChar w:fldCharType="end"/>
          </w:r>
        </w:p>
        <w:p w14:paraId="243A6ED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二、收入决算表</w:t>
          </w:r>
          <w:r>
            <w:rPr>
              <w:rFonts w:hint="default" w:ascii="Times New Roman" w:hAnsi="Times New Roman" w:eastAsia="仿宋_GB2312" w:cs="Times New Roman"/>
              <w:color w:val="auto"/>
              <w:kern w:val="2"/>
              <w:sz w:val="28"/>
              <w:szCs w:val="28"/>
              <w:highlight w:val="none"/>
              <w:lang w:val="en-US" w:eastAsia="zh-CN" w:bidi="ar-SA"/>
            </w:rPr>
            <w:tab/>
          </w:r>
          <w:r>
            <w:rPr>
              <w:rFonts w:hint="default" w:ascii="Times New Roman" w:hAnsi="Times New Roman" w:eastAsia="仿宋_GB2312" w:cs="Times New Roman"/>
              <w:color w:val="auto"/>
              <w:kern w:val="2"/>
              <w:sz w:val="28"/>
              <w:szCs w:val="28"/>
              <w:highlight w:val="none"/>
              <w:lang w:val="en-US" w:eastAsia="zh-CN" w:bidi="ar-SA"/>
            </w:rPr>
            <w:fldChar w:fldCharType="begin"/>
          </w:r>
          <w:r>
            <w:rPr>
              <w:rFonts w:hint="default" w:ascii="Times New Roman" w:hAnsi="Times New Roman" w:eastAsia="仿宋_GB2312" w:cs="Times New Roman"/>
              <w:color w:val="auto"/>
              <w:kern w:val="2"/>
              <w:sz w:val="28"/>
              <w:szCs w:val="28"/>
              <w:highlight w:val="none"/>
              <w:lang w:val="en-US" w:eastAsia="zh-CN" w:bidi="ar-SA"/>
            </w:rPr>
            <w:instrText xml:space="preserve"> PAGEREF _Toc26247 \h </w:instrText>
          </w:r>
          <w:r>
            <w:rPr>
              <w:rFonts w:hint="default" w:ascii="Times New Roman" w:hAnsi="Times New Roman" w:eastAsia="仿宋_GB2312" w:cs="Times New Roman"/>
              <w:color w:val="auto"/>
              <w:kern w:val="2"/>
              <w:sz w:val="28"/>
              <w:szCs w:val="28"/>
              <w:highlight w:val="none"/>
              <w:lang w:val="en-US" w:eastAsia="zh-CN" w:bidi="ar-SA"/>
            </w:rPr>
            <w:fldChar w:fldCharType="separate"/>
          </w:r>
          <w:r>
            <w:rPr>
              <w:rFonts w:hint="default" w:ascii="Times New Roman" w:hAnsi="Times New Roman" w:eastAsia="仿宋_GB2312" w:cs="Times New Roman"/>
              <w:color w:val="auto"/>
              <w:kern w:val="2"/>
              <w:sz w:val="28"/>
              <w:szCs w:val="28"/>
              <w:highlight w:val="none"/>
              <w:lang w:val="en-US" w:eastAsia="zh-CN" w:bidi="ar-SA"/>
            </w:rPr>
            <w:t>- 13 -</w:t>
          </w:r>
          <w:r>
            <w:rPr>
              <w:rFonts w:hint="default" w:ascii="Times New Roman" w:hAnsi="Times New Roman" w:eastAsia="仿宋_GB2312" w:cs="Times New Roman"/>
              <w:color w:val="auto"/>
              <w:kern w:val="2"/>
              <w:sz w:val="28"/>
              <w:szCs w:val="28"/>
              <w:highlight w:val="none"/>
              <w:lang w:val="en-US" w:eastAsia="zh-CN" w:bidi="ar-SA"/>
            </w:rPr>
            <w:fldChar w:fldCharType="end"/>
          </w:r>
        </w:p>
        <w:p w14:paraId="7967927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仿宋_GB2312" w:cs="Times New Roman"/>
              <w:color w:val="auto"/>
              <w:sz w:val="28"/>
              <w:szCs w:val="28"/>
              <w:highlight w:val="none"/>
            </w:rPr>
            <w:sectPr>
              <w:footerReference r:id="rId6" w:type="first"/>
              <w:footerReference r:id="rId5" w:type="default"/>
              <w:pgSz w:w="11906" w:h="16838"/>
              <w:pgMar w:top="1440" w:right="1800" w:bottom="1440" w:left="1800" w:header="851" w:footer="992" w:gutter="0"/>
              <w:pgNumType w:fmt="numberInDash" w:start="1"/>
              <w:cols w:space="425" w:num="1"/>
              <w:docGrid w:type="lines" w:linePitch="312" w:charSpace="0"/>
            </w:sectPr>
          </w:pPr>
        </w:p>
        <w:p w14:paraId="506661E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三、支出决算表</w:t>
          </w:r>
          <w:r>
            <w:rPr>
              <w:rFonts w:hint="default" w:ascii="Times New Roman" w:hAnsi="Times New Roman" w:eastAsia="仿宋_GB2312" w:cs="Times New Roman"/>
              <w:color w:val="auto"/>
              <w:kern w:val="2"/>
              <w:sz w:val="28"/>
              <w:szCs w:val="28"/>
              <w:highlight w:val="none"/>
              <w:lang w:val="en-US" w:eastAsia="zh-CN" w:bidi="ar-SA"/>
            </w:rPr>
            <w:tab/>
          </w:r>
          <w:r>
            <w:rPr>
              <w:rFonts w:hint="default" w:ascii="Times New Roman" w:hAnsi="Times New Roman" w:eastAsia="仿宋_GB2312" w:cs="Times New Roman"/>
              <w:color w:val="auto"/>
              <w:kern w:val="2"/>
              <w:sz w:val="28"/>
              <w:szCs w:val="28"/>
              <w:highlight w:val="none"/>
              <w:lang w:val="en-US" w:eastAsia="zh-CN" w:bidi="ar-SA"/>
            </w:rPr>
            <w:fldChar w:fldCharType="begin"/>
          </w:r>
          <w:r>
            <w:rPr>
              <w:rFonts w:hint="default" w:ascii="Times New Roman" w:hAnsi="Times New Roman" w:eastAsia="仿宋_GB2312" w:cs="Times New Roman"/>
              <w:color w:val="auto"/>
              <w:kern w:val="2"/>
              <w:sz w:val="28"/>
              <w:szCs w:val="28"/>
              <w:highlight w:val="none"/>
              <w:lang w:val="en-US" w:eastAsia="zh-CN" w:bidi="ar-SA"/>
            </w:rPr>
            <w:instrText xml:space="preserve"> PAGEREF _Toc26247 \h </w:instrText>
          </w:r>
          <w:r>
            <w:rPr>
              <w:rFonts w:hint="default" w:ascii="Times New Roman" w:hAnsi="Times New Roman" w:eastAsia="仿宋_GB2312" w:cs="Times New Roman"/>
              <w:color w:val="auto"/>
              <w:kern w:val="2"/>
              <w:sz w:val="28"/>
              <w:szCs w:val="28"/>
              <w:highlight w:val="none"/>
              <w:lang w:val="en-US" w:eastAsia="zh-CN" w:bidi="ar-SA"/>
            </w:rPr>
            <w:fldChar w:fldCharType="separate"/>
          </w:r>
          <w:r>
            <w:rPr>
              <w:rFonts w:hint="default" w:ascii="Times New Roman" w:hAnsi="Times New Roman" w:eastAsia="仿宋_GB2312" w:cs="Times New Roman"/>
              <w:color w:val="auto"/>
              <w:kern w:val="2"/>
              <w:sz w:val="28"/>
              <w:szCs w:val="28"/>
              <w:highlight w:val="none"/>
              <w:lang w:val="en-US" w:eastAsia="zh-CN" w:bidi="ar-SA"/>
            </w:rPr>
            <w:t>- 13 -</w:t>
          </w:r>
          <w:r>
            <w:rPr>
              <w:rFonts w:hint="default" w:ascii="Times New Roman" w:hAnsi="Times New Roman" w:eastAsia="仿宋_GB2312" w:cs="Times New Roman"/>
              <w:color w:val="auto"/>
              <w:kern w:val="2"/>
              <w:sz w:val="28"/>
              <w:szCs w:val="28"/>
              <w:highlight w:val="none"/>
              <w:lang w:val="en-US" w:eastAsia="zh-CN" w:bidi="ar-SA"/>
            </w:rPr>
            <w:fldChar w:fldCharType="end"/>
          </w:r>
        </w:p>
        <w:p w14:paraId="1F7334E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四、财政拨款收入支出决算总表</w:t>
          </w:r>
          <w:r>
            <w:rPr>
              <w:rFonts w:hint="default" w:ascii="Times New Roman" w:hAnsi="Times New Roman" w:eastAsia="仿宋_GB2312" w:cs="Times New Roman"/>
              <w:color w:val="auto"/>
              <w:kern w:val="2"/>
              <w:sz w:val="28"/>
              <w:szCs w:val="28"/>
              <w:highlight w:val="none"/>
              <w:lang w:val="en-US" w:eastAsia="zh-CN" w:bidi="ar-SA"/>
            </w:rPr>
            <w:tab/>
          </w:r>
          <w:r>
            <w:rPr>
              <w:rFonts w:hint="default" w:ascii="Times New Roman" w:hAnsi="Times New Roman" w:eastAsia="仿宋_GB2312" w:cs="Times New Roman"/>
              <w:color w:val="auto"/>
              <w:kern w:val="2"/>
              <w:sz w:val="28"/>
              <w:szCs w:val="28"/>
              <w:highlight w:val="none"/>
              <w:lang w:val="en-US" w:eastAsia="zh-CN" w:bidi="ar-SA"/>
            </w:rPr>
            <w:fldChar w:fldCharType="begin"/>
          </w:r>
          <w:r>
            <w:rPr>
              <w:rFonts w:hint="default" w:ascii="Times New Roman" w:hAnsi="Times New Roman" w:eastAsia="仿宋_GB2312" w:cs="Times New Roman"/>
              <w:color w:val="auto"/>
              <w:kern w:val="2"/>
              <w:sz w:val="28"/>
              <w:szCs w:val="28"/>
              <w:highlight w:val="none"/>
              <w:lang w:val="en-US" w:eastAsia="zh-CN" w:bidi="ar-SA"/>
            </w:rPr>
            <w:instrText xml:space="preserve"> PAGEREF _Toc26247 \h </w:instrText>
          </w:r>
          <w:r>
            <w:rPr>
              <w:rFonts w:hint="default" w:ascii="Times New Roman" w:hAnsi="Times New Roman" w:eastAsia="仿宋_GB2312" w:cs="Times New Roman"/>
              <w:color w:val="auto"/>
              <w:kern w:val="2"/>
              <w:sz w:val="28"/>
              <w:szCs w:val="28"/>
              <w:highlight w:val="none"/>
              <w:lang w:val="en-US" w:eastAsia="zh-CN" w:bidi="ar-SA"/>
            </w:rPr>
            <w:fldChar w:fldCharType="separate"/>
          </w:r>
          <w:r>
            <w:rPr>
              <w:rFonts w:hint="default" w:ascii="Times New Roman" w:hAnsi="Times New Roman" w:eastAsia="仿宋_GB2312" w:cs="Times New Roman"/>
              <w:color w:val="auto"/>
              <w:kern w:val="2"/>
              <w:sz w:val="28"/>
              <w:szCs w:val="28"/>
              <w:highlight w:val="none"/>
              <w:lang w:val="en-US" w:eastAsia="zh-CN" w:bidi="ar-SA"/>
            </w:rPr>
            <w:t>- 13 -</w:t>
          </w:r>
          <w:r>
            <w:rPr>
              <w:rFonts w:hint="default" w:ascii="Times New Roman" w:hAnsi="Times New Roman" w:eastAsia="仿宋_GB2312" w:cs="Times New Roman"/>
              <w:color w:val="auto"/>
              <w:kern w:val="2"/>
              <w:sz w:val="28"/>
              <w:szCs w:val="28"/>
              <w:highlight w:val="none"/>
              <w:lang w:val="en-US" w:eastAsia="zh-CN" w:bidi="ar-SA"/>
            </w:rPr>
            <w:fldChar w:fldCharType="end"/>
          </w:r>
        </w:p>
        <w:p w14:paraId="4F6C6B3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五、财政拨款支出决算明细表</w:t>
          </w:r>
          <w:r>
            <w:rPr>
              <w:rFonts w:hint="default" w:ascii="Times New Roman" w:hAnsi="Times New Roman" w:eastAsia="仿宋_GB2312" w:cs="Times New Roman"/>
              <w:color w:val="auto"/>
              <w:kern w:val="2"/>
              <w:sz w:val="28"/>
              <w:szCs w:val="28"/>
              <w:highlight w:val="none"/>
              <w:lang w:val="en-US" w:eastAsia="zh-CN" w:bidi="ar-SA"/>
            </w:rPr>
            <w:tab/>
          </w:r>
          <w:r>
            <w:rPr>
              <w:rFonts w:hint="default" w:ascii="Times New Roman" w:hAnsi="Times New Roman" w:eastAsia="仿宋_GB2312" w:cs="Times New Roman"/>
              <w:color w:val="auto"/>
              <w:kern w:val="2"/>
              <w:sz w:val="28"/>
              <w:szCs w:val="28"/>
              <w:highlight w:val="none"/>
              <w:lang w:val="en-US" w:eastAsia="zh-CN" w:bidi="ar-SA"/>
            </w:rPr>
            <w:fldChar w:fldCharType="begin"/>
          </w:r>
          <w:r>
            <w:rPr>
              <w:rFonts w:hint="default" w:ascii="Times New Roman" w:hAnsi="Times New Roman" w:eastAsia="仿宋_GB2312" w:cs="Times New Roman"/>
              <w:color w:val="auto"/>
              <w:kern w:val="2"/>
              <w:sz w:val="28"/>
              <w:szCs w:val="28"/>
              <w:highlight w:val="none"/>
              <w:lang w:val="en-US" w:eastAsia="zh-CN" w:bidi="ar-SA"/>
            </w:rPr>
            <w:instrText xml:space="preserve"> PAGEREF _Toc26247 \h </w:instrText>
          </w:r>
          <w:r>
            <w:rPr>
              <w:rFonts w:hint="default" w:ascii="Times New Roman" w:hAnsi="Times New Roman" w:eastAsia="仿宋_GB2312" w:cs="Times New Roman"/>
              <w:color w:val="auto"/>
              <w:kern w:val="2"/>
              <w:sz w:val="28"/>
              <w:szCs w:val="28"/>
              <w:highlight w:val="none"/>
              <w:lang w:val="en-US" w:eastAsia="zh-CN" w:bidi="ar-SA"/>
            </w:rPr>
            <w:fldChar w:fldCharType="separate"/>
          </w:r>
          <w:r>
            <w:rPr>
              <w:rFonts w:hint="default" w:ascii="Times New Roman" w:hAnsi="Times New Roman" w:eastAsia="仿宋_GB2312" w:cs="Times New Roman"/>
              <w:color w:val="auto"/>
              <w:kern w:val="2"/>
              <w:sz w:val="28"/>
              <w:szCs w:val="28"/>
              <w:highlight w:val="none"/>
              <w:lang w:val="en-US" w:eastAsia="zh-CN" w:bidi="ar-SA"/>
            </w:rPr>
            <w:t>- 13 -</w:t>
          </w:r>
          <w:r>
            <w:rPr>
              <w:rFonts w:hint="default" w:ascii="Times New Roman" w:hAnsi="Times New Roman" w:eastAsia="仿宋_GB2312" w:cs="Times New Roman"/>
              <w:color w:val="auto"/>
              <w:kern w:val="2"/>
              <w:sz w:val="28"/>
              <w:szCs w:val="28"/>
              <w:highlight w:val="none"/>
              <w:lang w:val="en-US" w:eastAsia="zh-CN" w:bidi="ar-SA"/>
            </w:rPr>
            <w:fldChar w:fldCharType="end"/>
          </w:r>
        </w:p>
        <w:p w14:paraId="187AB66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六、一般公共预算财政拨款支出决算表</w:t>
          </w:r>
          <w:r>
            <w:rPr>
              <w:rFonts w:hint="default" w:ascii="Times New Roman" w:hAnsi="Times New Roman" w:eastAsia="仿宋_GB2312" w:cs="Times New Roman"/>
              <w:color w:val="auto"/>
              <w:kern w:val="2"/>
              <w:sz w:val="28"/>
              <w:szCs w:val="28"/>
              <w:highlight w:val="none"/>
              <w:lang w:val="en-US" w:eastAsia="zh-CN" w:bidi="ar-SA"/>
            </w:rPr>
            <w:tab/>
          </w:r>
          <w:r>
            <w:rPr>
              <w:rFonts w:hint="default" w:ascii="Times New Roman" w:hAnsi="Times New Roman" w:eastAsia="仿宋_GB2312" w:cs="Times New Roman"/>
              <w:color w:val="auto"/>
              <w:kern w:val="2"/>
              <w:sz w:val="28"/>
              <w:szCs w:val="28"/>
              <w:highlight w:val="none"/>
              <w:lang w:val="en-US" w:eastAsia="zh-CN" w:bidi="ar-SA"/>
            </w:rPr>
            <w:fldChar w:fldCharType="begin"/>
          </w:r>
          <w:r>
            <w:rPr>
              <w:rFonts w:hint="default" w:ascii="Times New Roman" w:hAnsi="Times New Roman" w:eastAsia="仿宋_GB2312" w:cs="Times New Roman"/>
              <w:color w:val="auto"/>
              <w:kern w:val="2"/>
              <w:sz w:val="28"/>
              <w:szCs w:val="28"/>
              <w:highlight w:val="none"/>
              <w:lang w:val="en-US" w:eastAsia="zh-CN" w:bidi="ar-SA"/>
            </w:rPr>
            <w:instrText xml:space="preserve"> PAGEREF _Toc26247 \h </w:instrText>
          </w:r>
          <w:r>
            <w:rPr>
              <w:rFonts w:hint="default" w:ascii="Times New Roman" w:hAnsi="Times New Roman" w:eastAsia="仿宋_GB2312" w:cs="Times New Roman"/>
              <w:color w:val="auto"/>
              <w:kern w:val="2"/>
              <w:sz w:val="28"/>
              <w:szCs w:val="28"/>
              <w:highlight w:val="none"/>
              <w:lang w:val="en-US" w:eastAsia="zh-CN" w:bidi="ar-SA"/>
            </w:rPr>
            <w:fldChar w:fldCharType="separate"/>
          </w:r>
          <w:r>
            <w:rPr>
              <w:rFonts w:hint="default" w:ascii="Times New Roman" w:hAnsi="Times New Roman" w:eastAsia="仿宋_GB2312" w:cs="Times New Roman"/>
              <w:color w:val="auto"/>
              <w:kern w:val="2"/>
              <w:sz w:val="28"/>
              <w:szCs w:val="28"/>
              <w:highlight w:val="none"/>
              <w:lang w:val="en-US" w:eastAsia="zh-CN" w:bidi="ar-SA"/>
            </w:rPr>
            <w:t>- 13 -</w:t>
          </w:r>
          <w:r>
            <w:rPr>
              <w:rFonts w:hint="default" w:ascii="Times New Roman" w:hAnsi="Times New Roman" w:eastAsia="仿宋_GB2312" w:cs="Times New Roman"/>
              <w:color w:val="auto"/>
              <w:kern w:val="2"/>
              <w:sz w:val="28"/>
              <w:szCs w:val="28"/>
              <w:highlight w:val="none"/>
              <w:lang w:val="en-US" w:eastAsia="zh-CN" w:bidi="ar-SA"/>
            </w:rPr>
            <w:fldChar w:fldCharType="end"/>
          </w:r>
        </w:p>
        <w:p w14:paraId="1EC0503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七、一般公共预算财政拨款支出决算明细表</w:t>
          </w:r>
          <w:r>
            <w:rPr>
              <w:rFonts w:hint="default" w:ascii="Times New Roman" w:hAnsi="Times New Roman" w:eastAsia="仿宋_GB2312" w:cs="Times New Roman"/>
              <w:color w:val="auto"/>
              <w:kern w:val="2"/>
              <w:sz w:val="28"/>
              <w:szCs w:val="28"/>
              <w:highlight w:val="none"/>
              <w:lang w:val="en-US" w:eastAsia="zh-CN" w:bidi="ar-SA"/>
            </w:rPr>
            <w:tab/>
          </w:r>
          <w:r>
            <w:rPr>
              <w:rFonts w:hint="default" w:ascii="Times New Roman" w:hAnsi="Times New Roman" w:eastAsia="仿宋_GB2312" w:cs="Times New Roman"/>
              <w:color w:val="auto"/>
              <w:kern w:val="2"/>
              <w:sz w:val="28"/>
              <w:szCs w:val="28"/>
              <w:highlight w:val="none"/>
              <w:lang w:val="en-US" w:eastAsia="zh-CN" w:bidi="ar-SA"/>
            </w:rPr>
            <w:fldChar w:fldCharType="begin"/>
          </w:r>
          <w:r>
            <w:rPr>
              <w:rFonts w:hint="default" w:ascii="Times New Roman" w:hAnsi="Times New Roman" w:eastAsia="仿宋_GB2312" w:cs="Times New Roman"/>
              <w:color w:val="auto"/>
              <w:kern w:val="2"/>
              <w:sz w:val="28"/>
              <w:szCs w:val="28"/>
              <w:highlight w:val="none"/>
              <w:lang w:val="en-US" w:eastAsia="zh-CN" w:bidi="ar-SA"/>
            </w:rPr>
            <w:instrText xml:space="preserve"> PAGEREF _Toc26247 \h </w:instrText>
          </w:r>
          <w:r>
            <w:rPr>
              <w:rFonts w:hint="default" w:ascii="Times New Roman" w:hAnsi="Times New Roman" w:eastAsia="仿宋_GB2312" w:cs="Times New Roman"/>
              <w:color w:val="auto"/>
              <w:kern w:val="2"/>
              <w:sz w:val="28"/>
              <w:szCs w:val="28"/>
              <w:highlight w:val="none"/>
              <w:lang w:val="en-US" w:eastAsia="zh-CN" w:bidi="ar-SA"/>
            </w:rPr>
            <w:fldChar w:fldCharType="separate"/>
          </w:r>
          <w:r>
            <w:rPr>
              <w:rFonts w:hint="default" w:ascii="Times New Roman" w:hAnsi="Times New Roman" w:eastAsia="仿宋_GB2312" w:cs="Times New Roman"/>
              <w:color w:val="auto"/>
              <w:kern w:val="2"/>
              <w:sz w:val="28"/>
              <w:szCs w:val="28"/>
              <w:highlight w:val="none"/>
              <w:lang w:val="en-US" w:eastAsia="zh-CN" w:bidi="ar-SA"/>
            </w:rPr>
            <w:t>- 13 -</w:t>
          </w:r>
          <w:r>
            <w:rPr>
              <w:rFonts w:hint="default" w:ascii="Times New Roman" w:hAnsi="Times New Roman" w:eastAsia="仿宋_GB2312" w:cs="Times New Roman"/>
              <w:color w:val="auto"/>
              <w:kern w:val="2"/>
              <w:sz w:val="28"/>
              <w:szCs w:val="28"/>
              <w:highlight w:val="none"/>
              <w:lang w:val="en-US" w:eastAsia="zh-CN" w:bidi="ar-SA"/>
            </w:rPr>
            <w:fldChar w:fldCharType="end"/>
          </w:r>
        </w:p>
        <w:p w14:paraId="0534FF1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八、一般公共预算财政拨款基本支出决算</w:t>
          </w:r>
          <w:r>
            <w:rPr>
              <w:rFonts w:hint="default" w:ascii="Times New Roman" w:hAnsi="Times New Roman" w:eastAsia="仿宋_GB2312" w:cs="Times New Roman"/>
              <w:color w:val="auto"/>
              <w:sz w:val="28"/>
              <w:szCs w:val="28"/>
              <w:highlight w:val="none"/>
              <w:lang w:eastAsia="zh-CN"/>
            </w:rPr>
            <w:t>明细</w:t>
          </w:r>
          <w:r>
            <w:rPr>
              <w:rFonts w:hint="default" w:ascii="Times New Roman" w:hAnsi="Times New Roman" w:eastAsia="仿宋_GB2312" w:cs="Times New Roman"/>
              <w:color w:val="auto"/>
              <w:sz w:val="28"/>
              <w:szCs w:val="28"/>
              <w:highlight w:val="none"/>
            </w:rPr>
            <w:t>表</w:t>
          </w:r>
          <w:r>
            <w:rPr>
              <w:rFonts w:hint="default" w:ascii="Times New Roman" w:hAnsi="Times New Roman" w:eastAsia="仿宋_GB2312" w:cs="Times New Roman"/>
              <w:color w:val="auto"/>
              <w:kern w:val="2"/>
              <w:sz w:val="28"/>
              <w:szCs w:val="28"/>
              <w:highlight w:val="none"/>
              <w:lang w:val="en-US" w:eastAsia="zh-CN" w:bidi="ar-SA"/>
            </w:rPr>
            <w:tab/>
          </w:r>
          <w:r>
            <w:rPr>
              <w:rFonts w:hint="default" w:ascii="Times New Roman" w:hAnsi="Times New Roman" w:eastAsia="仿宋_GB2312" w:cs="Times New Roman"/>
              <w:color w:val="auto"/>
              <w:kern w:val="2"/>
              <w:sz w:val="28"/>
              <w:szCs w:val="28"/>
              <w:highlight w:val="none"/>
              <w:lang w:val="en-US" w:eastAsia="zh-CN" w:bidi="ar-SA"/>
            </w:rPr>
            <w:fldChar w:fldCharType="begin"/>
          </w:r>
          <w:r>
            <w:rPr>
              <w:rFonts w:hint="default" w:ascii="Times New Roman" w:hAnsi="Times New Roman" w:eastAsia="仿宋_GB2312" w:cs="Times New Roman"/>
              <w:color w:val="auto"/>
              <w:kern w:val="2"/>
              <w:sz w:val="28"/>
              <w:szCs w:val="28"/>
              <w:highlight w:val="none"/>
              <w:lang w:val="en-US" w:eastAsia="zh-CN" w:bidi="ar-SA"/>
            </w:rPr>
            <w:instrText xml:space="preserve"> PAGEREF _Toc26247 \h </w:instrText>
          </w:r>
          <w:r>
            <w:rPr>
              <w:rFonts w:hint="default" w:ascii="Times New Roman" w:hAnsi="Times New Roman" w:eastAsia="仿宋_GB2312" w:cs="Times New Roman"/>
              <w:color w:val="auto"/>
              <w:kern w:val="2"/>
              <w:sz w:val="28"/>
              <w:szCs w:val="28"/>
              <w:highlight w:val="none"/>
              <w:lang w:val="en-US" w:eastAsia="zh-CN" w:bidi="ar-SA"/>
            </w:rPr>
            <w:fldChar w:fldCharType="separate"/>
          </w:r>
          <w:r>
            <w:rPr>
              <w:rFonts w:hint="default" w:ascii="Times New Roman" w:hAnsi="Times New Roman" w:eastAsia="仿宋_GB2312" w:cs="Times New Roman"/>
              <w:color w:val="auto"/>
              <w:kern w:val="2"/>
              <w:sz w:val="28"/>
              <w:szCs w:val="28"/>
              <w:highlight w:val="none"/>
              <w:lang w:val="en-US" w:eastAsia="zh-CN" w:bidi="ar-SA"/>
            </w:rPr>
            <w:t>- 13 -</w:t>
          </w:r>
          <w:r>
            <w:rPr>
              <w:rFonts w:hint="default" w:ascii="Times New Roman" w:hAnsi="Times New Roman" w:eastAsia="仿宋_GB2312" w:cs="Times New Roman"/>
              <w:color w:val="auto"/>
              <w:kern w:val="2"/>
              <w:sz w:val="28"/>
              <w:szCs w:val="28"/>
              <w:highlight w:val="none"/>
              <w:lang w:val="en-US" w:eastAsia="zh-CN" w:bidi="ar-SA"/>
            </w:rPr>
            <w:fldChar w:fldCharType="end"/>
          </w:r>
        </w:p>
        <w:p w14:paraId="53FD936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九、一般公共预算财政拨款项目支出决算表</w:t>
          </w:r>
          <w:r>
            <w:rPr>
              <w:rFonts w:hint="default" w:ascii="Times New Roman" w:hAnsi="Times New Roman" w:eastAsia="仿宋_GB2312" w:cs="Times New Roman"/>
              <w:color w:val="auto"/>
              <w:kern w:val="2"/>
              <w:sz w:val="28"/>
              <w:szCs w:val="28"/>
              <w:highlight w:val="none"/>
              <w:lang w:val="en-US" w:eastAsia="zh-CN" w:bidi="ar-SA"/>
            </w:rPr>
            <w:tab/>
          </w:r>
          <w:r>
            <w:rPr>
              <w:rFonts w:hint="default" w:ascii="Times New Roman" w:hAnsi="Times New Roman" w:eastAsia="仿宋_GB2312" w:cs="Times New Roman"/>
              <w:color w:val="auto"/>
              <w:kern w:val="2"/>
              <w:sz w:val="28"/>
              <w:szCs w:val="28"/>
              <w:highlight w:val="none"/>
              <w:lang w:val="en-US" w:eastAsia="zh-CN" w:bidi="ar-SA"/>
            </w:rPr>
            <w:fldChar w:fldCharType="begin"/>
          </w:r>
          <w:r>
            <w:rPr>
              <w:rFonts w:hint="default" w:ascii="Times New Roman" w:hAnsi="Times New Roman" w:eastAsia="仿宋_GB2312" w:cs="Times New Roman"/>
              <w:color w:val="auto"/>
              <w:kern w:val="2"/>
              <w:sz w:val="28"/>
              <w:szCs w:val="28"/>
              <w:highlight w:val="none"/>
              <w:lang w:val="en-US" w:eastAsia="zh-CN" w:bidi="ar-SA"/>
            </w:rPr>
            <w:instrText xml:space="preserve"> PAGEREF _Toc26247 \h </w:instrText>
          </w:r>
          <w:r>
            <w:rPr>
              <w:rFonts w:hint="default" w:ascii="Times New Roman" w:hAnsi="Times New Roman" w:eastAsia="仿宋_GB2312" w:cs="Times New Roman"/>
              <w:color w:val="auto"/>
              <w:kern w:val="2"/>
              <w:sz w:val="28"/>
              <w:szCs w:val="28"/>
              <w:highlight w:val="none"/>
              <w:lang w:val="en-US" w:eastAsia="zh-CN" w:bidi="ar-SA"/>
            </w:rPr>
            <w:fldChar w:fldCharType="separate"/>
          </w:r>
          <w:r>
            <w:rPr>
              <w:rFonts w:hint="default" w:ascii="Times New Roman" w:hAnsi="Times New Roman" w:eastAsia="仿宋_GB2312" w:cs="Times New Roman"/>
              <w:color w:val="auto"/>
              <w:kern w:val="2"/>
              <w:sz w:val="28"/>
              <w:szCs w:val="28"/>
              <w:highlight w:val="none"/>
              <w:lang w:val="en-US" w:eastAsia="zh-CN" w:bidi="ar-SA"/>
            </w:rPr>
            <w:t>- 13 -</w:t>
          </w:r>
          <w:r>
            <w:rPr>
              <w:rFonts w:hint="default" w:ascii="Times New Roman" w:hAnsi="Times New Roman" w:eastAsia="仿宋_GB2312" w:cs="Times New Roman"/>
              <w:color w:val="auto"/>
              <w:kern w:val="2"/>
              <w:sz w:val="28"/>
              <w:szCs w:val="28"/>
              <w:highlight w:val="none"/>
              <w:lang w:val="en-US" w:eastAsia="zh-CN" w:bidi="ar-SA"/>
            </w:rPr>
            <w:fldChar w:fldCharType="end"/>
          </w:r>
        </w:p>
        <w:p w14:paraId="47E95CA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十、政府性基金预算财政拨款收入支出决算表</w:t>
          </w:r>
          <w:r>
            <w:rPr>
              <w:rFonts w:hint="default" w:ascii="Times New Roman" w:hAnsi="Times New Roman" w:eastAsia="仿宋_GB2312" w:cs="Times New Roman"/>
              <w:color w:val="auto"/>
              <w:kern w:val="2"/>
              <w:sz w:val="28"/>
              <w:szCs w:val="28"/>
              <w:highlight w:val="none"/>
              <w:lang w:val="en-US" w:eastAsia="zh-CN" w:bidi="ar-SA"/>
            </w:rPr>
            <w:tab/>
          </w:r>
          <w:r>
            <w:rPr>
              <w:rFonts w:hint="default" w:ascii="Times New Roman" w:hAnsi="Times New Roman" w:eastAsia="仿宋_GB2312" w:cs="Times New Roman"/>
              <w:color w:val="auto"/>
              <w:kern w:val="2"/>
              <w:sz w:val="28"/>
              <w:szCs w:val="28"/>
              <w:highlight w:val="none"/>
              <w:lang w:val="en-US" w:eastAsia="zh-CN" w:bidi="ar-SA"/>
            </w:rPr>
            <w:fldChar w:fldCharType="begin"/>
          </w:r>
          <w:r>
            <w:rPr>
              <w:rFonts w:hint="default" w:ascii="Times New Roman" w:hAnsi="Times New Roman" w:eastAsia="仿宋_GB2312" w:cs="Times New Roman"/>
              <w:color w:val="auto"/>
              <w:kern w:val="2"/>
              <w:sz w:val="28"/>
              <w:szCs w:val="28"/>
              <w:highlight w:val="none"/>
              <w:lang w:val="en-US" w:eastAsia="zh-CN" w:bidi="ar-SA"/>
            </w:rPr>
            <w:instrText xml:space="preserve"> PAGEREF _Toc26247 \h </w:instrText>
          </w:r>
          <w:r>
            <w:rPr>
              <w:rFonts w:hint="default" w:ascii="Times New Roman" w:hAnsi="Times New Roman" w:eastAsia="仿宋_GB2312" w:cs="Times New Roman"/>
              <w:color w:val="auto"/>
              <w:kern w:val="2"/>
              <w:sz w:val="28"/>
              <w:szCs w:val="28"/>
              <w:highlight w:val="none"/>
              <w:lang w:val="en-US" w:eastAsia="zh-CN" w:bidi="ar-SA"/>
            </w:rPr>
            <w:fldChar w:fldCharType="separate"/>
          </w:r>
          <w:r>
            <w:rPr>
              <w:rFonts w:hint="default" w:ascii="Times New Roman" w:hAnsi="Times New Roman" w:eastAsia="仿宋_GB2312" w:cs="Times New Roman"/>
              <w:color w:val="auto"/>
              <w:kern w:val="2"/>
              <w:sz w:val="28"/>
              <w:szCs w:val="28"/>
              <w:highlight w:val="none"/>
              <w:lang w:val="en-US" w:eastAsia="zh-CN" w:bidi="ar-SA"/>
            </w:rPr>
            <w:t>- 13 -</w:t>
          </w:r>
          <w:r>
            <w:rPr>
              <w:rFonts w:hint="default" w:ascii="Times New Roman" w:hAnsi="Times New Roman" w:eastAsia="仿宋_GB2312" w:cs="Times New Roman"/>
              <w:color w:val="auto"/>
              <w:kern w:val="2"/>
              <w:sz w:val="28"/>
              <w:szCs w:val="28"/>
              <w:highlight w:val="none"/>
              <w:lang w:val="en-US" w:eastAsia="zh-CN" w:bidi="ar-SA"/>
            </w:rPr>
            <w:fldChar w:fldCharType="end"/>
          </w:r>
        </w:p>
        <w:p w14:paraId="0946450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十一、国有资本经营预算财政拨款收入支出决算表</w:t>
          </w:r>
          <w:r>
            <w:rPr>
              <w:rFonts w:hint="default" w:ascii="Times New Roman" w:hAnsi="Times New Roman" w:eastAsia="仿宋_GB2312" w:cs="Times New Roman"/>
              <w:color w:val="auto"/>
              <w:kern w:val="2"/>
              <w:sz w:val="28"/>
              <w:szCs w:val="28"/>
              <w:highlight w:val="none"/>
              <w:lang w:val="en-US" w:eastAsia="zh-CN" w:bidi="ar-SA"/>
            </w:rPr>
            <w:tab/>
          </w:r>
          <w:r>
            <w:rPr>
              <w:rFonts w:hint="default" w:ascii="Times New Roman" w:hAnsi="Times New Roman" w:eastAsia="仿宋_GB2312" w:cs="Times New Roman"/>
              <w:color w:val="auto"/>
              <w:kern w:val="2"/>
              <w:sz w:val="28"/>
              <w:szCs w:val="28"/>
              <w:highlight w:val="none"/>
              <w:lang w:val="en-US" w:eastAsia="zh-CN" w:bidi="ar-SA"/>
            </w:rPr>
            <w:fldChar w:fldCharType="begin"/>
          </w:r>
          <w:r>
            <w:rPr>
              <w:rFonts w:hint="default" w:ascii="Times New Roman" w:hAnsi="Times New Roman" w:eastAsia="仿宋_GB2312" w:cs="Times New Roman"/>
              <w:color w:val="auto"/>
              <w:kern w:val="2"/>
              <w:sz w:val="28"/>
              <w:szCs w:val="28"/>
              <w:highlight w:val="none"/>
              <w:lang w:val="en-US" w:eastAsia="zh-CN" w:bidi="ar-SA"/>
            </w:rPr>
            <w:instrText xml:space="preserve"> PAGEREF _Toc26247 \h </w:instrText>
          </w:r>
          <w:r>
            <w:rPr>
              <w:rFonts w:hint="default" w:ascii="Times New Roman" w:hAnsi="Times New Roman" w:eastAsia="仿宋_GB2312" w:cs="Times New Roman"/>
              <w:color w:val="auto"/>
              <w:kern w:val="2"/>
              <w:sz w:val="28"/>
              <w:szCs w:val="28"/>
              <w:highlight w:val="none"/>
              <w:lang w:val="en-US" w:eastAsia="zh-CN" w:bidi="ar-SA"/>
            </w:rPr>
            <w:fldChar w:fldCharType="separate"/>
          </w:r>
          <w:r>
            <w:rPr>
              <w:rFonts w:hint="default" w:ascii="Times New Roman" w:hAnsi="Times New Roman" w:eastAsia="仿宋_GB2312" w:cs="Times New Roman"/>
              <w:color w:val="auto"/>
              <w:kern w:val="2"/>
              <w:sz w:val="28"/>
              <w:szCs w:val="28"/>
              <w:highlight w:val="none"/>
              <w:lang w:val="en-US" w:eastAsia="zh-CN" w:bidi="ar-SA"/>
            </w:rPr>
            <w:t>- 13 -</w:t>
          </w:r>
          <w:r>
            <w:rPr>
              <w:rFonts w:hint="default" w:ascii="Times New Roman" w:hAnsi="Times New Roman" w:eastAsia="仿宋_GB2312" w:cs="Times New Roman"/>
              <w:color w:val="auto"/>
              <w:kern w:val="2"/>
              <w:sz w:val="28"/>
              <w:szCs w:val="28"/>
              <w:highlight w:val="none"/>
              <w:lang w:val="en-US" w:eastAsia="zh-CN" w:bidi="ar-SA"/>
            </w:rPr>
            <w:fldChar w:fldCharType="end"/>
          </w:r>
        </w:p>
        <w:p w14:paraId="6F03404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十二、</w:t>
          </w:r>
          <w:r>
            <w:rPr>
              <w:rFonts w:hint="default" w:ascii="Times New Roman" w:hAnsi="Times New Roman" w:eastAsia="仿宋_GB2312" w:cs="Times New Roman"/>
              <w:color w:val="auto"/>
              <w:sz w:val="28"/>
              <w:szCs w:val="28"/>
              <w:highlight w:val="none"/>
              <w:lang w:val="en-US" w:eastAsia="zh-CN"/>
            </w:rPr>
            <w:t>国有资本经营预算财政拨款支出决算表</w:t>
          </w:r>
          <w:r>
            <w:rPr>
              <w:rFonts w:hint="default" w:ascii="Times New Roman" w:hAnsi="Times New Roman" w:eastAsia="仿宋_GB2312" w:cs="Times New Roman"/>
              <w:color w:val="auto"/>
              <w:kern w:val="2"/>
              <w:sz w:val="28"/>
              <w:szCs w:val="28"/>
              <w:highlight w:val="none"/>
              <w:lang w:val="en-US" w:eastAsia="zh-CN" w:bidi="ar-SA"/>
            </w:rPr>
            <w:tab/>
          </w:r>
          <w:r>
            <w:rPr>
              <w:rFonts w:hint="default" w:ascii="Times New Roman" w:hAnsi="Times New Roman" w:eastAsia="仿宋_GB2312" w:cs="Times New Roman"/>
              <w:color w:val="auto"/>
              <w:kern w:val="2"/>
              <w:sz w:val="28"/>
              <w:szCs w:val="28"/>
              <w:highlight w:val="none"/>
              <w:lang w:val="en-US" w:eastAsia="zh-CN" w:bidi="ar-SA"/>
            </w:rPr>
            <w:fldChar w:fldCharType="begin"/>
          </w:r>
          <w:r>
            <w:rPr>
              <w:rFonts w:hint="default" w:ascii="Times New Roman" w:hAnsi="Times New Roman" w:eastAsia="仿宋_GB2312" w:cs="Times New Roman"/>
              <w:color w:val="auto"/>
              <w:kern w:val="2"/>
              <w:sz w:val="28"/>
              <w:szCs w:val="28"/>
              <w:highlight w:val="none"/>
              <w:lang w:val="en-US" w:eastAsia="zh-CN" w:bidi="ar-SA"/>
            </w:rPr>
            <w:instrText xml:space="preserve"> PAGEREF _Toc26247 \h </w:instrText>
          </w:r>
          <w:r>
            <w:rPr>
              <w:rFonts w:hint="default" w:ascii="Times New Roman" w:hAnsi="Times New Roman" w:eastAsia="仿宋_GB2312" w:cs="Times New Roman"/>
              <w:color w:val="auto"/>
              <w:kern w:val="2"/>
              <w:sz w:val="28"/>
              <w:szCs w:val="28"/>
              <w:highlight w:val="none"/>
              <w:lang w:val="en-US" w:eastAsia="zh-CN" w:bidi="ar-SA"/>
            </w:rPr>
            <w:fldChar w:fldCharType="separate"/>
          </w:r>
          <w:r>
            <w:rPr>
              <w:rFonts w:hint="default" w:ascii="Times New Roman" w:hAnsi="Times New Roman" w:eastAsia="仿宋_GB2312" w:cs="Times New Roman"/>
              <w:color w:val="auto"/>
              <w:kern w:val="2"/>
              <w:sz w:val="28"/>
              <w:szCs w:val="28"/>
              <w:highlight w:val="none"/>
              <w:lang w:val="en-US" w:eastAsia="zh-CN" w:bidi="ar-SA"/>
            </w:rPr>
            <w:t>- 13 -</w:t>
          </w:r>
          <w:r>
            <w:rPr>
              <w:rFonts w:hint="default" w:ascii="Times New Roman" w:hAnsi="Times New Roman" w:eastAsia="仿宋_GB2312" w:cs="Times New Roman"/>
              <w:color w:val="auto"/>
              <w:kern w:val="2"/>
              <w:sz w:val="28"/>
              <w:szCs w:val="28"/>
              <w:highlight w:val="none"/>
              <w:lang w:val="en-US" w:eastAsia="zh-CN" w:bidi="ar-SA"/>
            </w:rPr>
            <w:fldChar w:fldCharType="end"/>
          </w:r>
        </w:p>
        <w:p w14:paraId="5188A96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十三、财政拨款“三公”经费支出决算表</w:t>
          </w:r>
          <w:r>
            <w:rPr>
              <w:rFonts w:hint="default" w:ascii="Times New Roman" w:hAnsi="Times New Roman" w:eastAsia="仿宋_GB2312" w:cs="Times New Roman"/>
              <w:color w:val="auto"/>
              <w:kern w:val="2"/>
              <w:sz w:val="28"/>
              <w:szCs w:val="28"/>
              <w:highlight w:val="none"/>
              <w:lang w:val="en-US" w:eastAsia="zh-CN" w:bidi="ar-SA"/>
            </w:rPr>
            <w:tab/>
          </w:r>
          <w:r>
            <w:rPr>
              <w:rFonts w:hint="default" w:ascii="Times New Roman" w:hAnsi="Times New Roman" w:eastAsia="仿宋_GB2312" w:cs="Times New Roman"/>
              <w:color w:val="auto"/>
              <w:kern w:val="2"/>
              <w:sz w:val="28"/>
              <w:szCs w:val="28"/>
              <w:highlight w:val="none"/>
              <w:lang w:val="en-US" w:eastAsia="zh-CN" w:bidi="ar-SA"/>
            </w:rPr>
            <w:fldChar w:fldCharType="begin"/>
          </w:r>
          <w:r>
            <w:rPr>
              <w:rFonts w:hint="default" w:ascii="Times New Roman" w:hAnsi="Times New Roman" w:eastAsia="仿宋_GB2312" w:cs="Times New Roman"/>
              <w:color w:val="auto"/>
              <w:kern w:val="2"/>
              <w:sz w:val="28"/>
              <w:szCs w:val="28"/>
              <w:highlight w:val="none"/>
              <w:lang w:val="en-US" w:eastAsia="zh-CN" w:bidi="ar-SA"/>
            </w:rPr>
            <w:instrText xml:space="preserve"> PAGEREF _Toc26247 \h </w:instrText>
          </w:r>
          <w:r>
            <w:rPr>
              <w:rFonts w:hint="default" w:ascii="Times New Roman" w:hAnsi="Times New Roman" w:eastAsia="仿宋_GB2312" w:cs="Times New Roman"/>
              <w:color w:val="auto"/>
              <w:kern w:val="2"/>
              <w:sz w:val="28"/>
              <w:szCs w:val="28"/>
              <w:highlight w:val="none"/>
              <w:lang w:val="en-US" w:eastAsia="zh-CN" w:bidi="ar-SA"/>
            </w:rPr>
            <w:fldChar w:fldCharType="separate"/>
          </w:r>
          <w:r>
            <w:rPr>
              <w:rFonts w:hint="default" w:ascii="Times New Roman" w:hAnsi="Times New Roman" w:eastAsia="仿宋_GB2312" w:cs="Times New Roman"/>
              <w:color w:val="auto"/>
              <w:kern w:val="2"/>
              <w:sz w:val="28"/>
              <w:szCs w:val="28"/>
              <w:highlight w:val="none"/>
              <w:lang w:val="en-US" w:eastAsia="zh-CN" w:bidi="ar-SA"/>
            </w:rPr>
            <w:t>- 13 -</w:t>
          </w:r>
          <w:r>
            <w:rPr>
              <w:rFonts w:hint="default" w:ascii="Times New Roman" w:hAnsi="Times New Roman" w:eastAsia="仿宋_GB2312" w:cs="Times New Roman"/>
              <w:color w:val="auto"/>
              <w:kern w:val="2"/>
              <w:sz w:val="28"/>
              <w:szCs w:val="28"/>
              <w:highlight w:val="none"/>
              <w:lang w:val="en-US" w:eastAsia="zh-CN" w:bidi="ar-SA"/>
            </w:rPr>
            <w:fldChar w:fldCharType="end"/>
          </w:r>
        </w:p>
        <w:p w14:paraId="23820709">
          <w:pPr>
            <w:rPr>
              <w:rFonts w:hint="default" w:ascii="Times New Roman" w:hAnsi="Times New Roman" w:cs="Times New Roman"/>
            </w:rPr>
          </w:pPr>
        </w:p>
      </w:sdtContent>
    </w:sdt>
    <w:p w14:paraId="6DE747F7">
      <w:pPr>
        <w:rPr>
          <w:rFonts w:hint="default" w:ascii="Times New Roman" w:hAnsi="Times New Roman" w:cs="Times New Roman"/>
        </w:rPr>
      </w:pPr>
    </w:p>
    <w:p w14:paraId="450CA965">
      <w:pPr>
        <w:pStyle w:val="5"/>
        <w:jc w:val="center"/>
        <w:rPr>
          <w:rFonts w:hint="eastAsia" w:ascii="Times New Roman" w:hAnsi="Times New Roman" w:eastAsia="方正小标宋简体" w:cs="方正小标宋简体"/>
          <w:b w:val="0"/>
          <w:color w:val="auto"/>
          <w:highlight w:val="none"/>
        </w:rPr>
        <w:sectPr>
          <w:footerReference r:id="rId7" w:type="default"/>
          <w:pgSz w:w="11906" w:h="16838"/>
          <w:pgMar w:top="1440" w:right="1800" w:bottom="1440" w:left="1800" w:header="851" w:footer="992" w:gutter="0"/>
          <w:pgNumType w:fmt="numberInDash" w:start="1"/>
          <w:cols w:space="425" w:num="1"/>
          <w:docGrid w:type="lines" w:linePitch="312" w:charSpace="0"/>
        </w:sectPr>
      </w:pPr>
      <w:bookmarkStart w:id="12" w:name="_Toc25528"/>
      <w:bookmarkStart w:id="13" w:name="_Toc4009"/>
    </w:p>
    <w:p w14:paraId="16E7540E">
      <w:pPr>
        <w:pStyle w:val="5"/>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eastAsia="方正小标宋简体" w:cs="方正小标宋简体"/>
          <w:b w:val="0"/>
          <w:bCs w:val="0"/>
          <w:color w:val="auto"/>
          <w:highlight w:val="none"/>
          <w:lang w:eastAsia="zh-CN"/>
        </w:rPr>
        <w:t>单位</w:t>
      </w:r>
      <w:r>
        <w:rPr>
          <w:rStyle w:val="28"/>
          <w:rFonts w:hint="eastAsia" w:ascii="Times New Roman" w:hAnsi="Times New Roman" w:eastAsia="方正小标宋简体" w:cs="方正小标宋简体"/>
          <w:b w:val="0"/>
          <w:bCs w:val="0"/>
          <w:color w:val="auto"/>
          <w:highlight w:val="none"/>
        </w:rPr>
        <w:t>概况</w:t>
      </w:r>
      <w:bookmarkEnd w:id="12"/>
      <w:bookmarkEnd w:id="13"/>
    </w:p>
    <w:p w14:paraId="13F18169">
      <w:pPr>
        <w:pStyle w:val="6"/>
        <w:numPr>
          <w:ilvl w:val="0"/>
          <w:numId w:val="1"/>
        </w:numPr>
        <w:outlineLvl w:val="0"/>
        <w:rPr>
          <w:rFonts w:hint="eastAsia" w:ascii="Times New Roman" w:hAnsi="Times New Roman" w:eastAsia="黑体"/>
          <w:b w:val="0"/>
          <w:color w:val="auto"/>
          <w:highlight w:val="none"/>
          <w:lang w:eastAsia="zh-CN"/>
        </w:rPr>
      </w:pPr>
      <w:bookmarkStart w:id="14" w:name="_Toc1547"/>
      <w:bookmarkStart w:id="15" w:name="_Toc31677"/>
      <w:r>
        <w:rPr>
          <w:rFonts w:hint="eastAsia" w:ascii="Times New Roman" w:hAnsi="Times New Roman" w:eastAsia="黑体"/>
          <w:b w:val="0"/>
          <w:color w:val="auto"/>
          <w:highlight w:val="none"/>
          <w:lang w:eastAsia="zh-CN"/>
        </w:rPr>
        <w:t>单位职责</w:t>
      </w:r>
      <w:bookmarkEnd w:id="14"/>
      <w:bookmarkEnd w:id="15"/>
    </w:p>
    <w:p w14:paraId="457CDE3D">
      <w:pPr>
        <w:numPr>
          <w:ilvl w:val="0"/>
          <w:numId w:val="0"/>
        </w:num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凉山彝族自治州第一人民医院（西昌医学高等专科学校附属医院）系政府举办非营利性三级甲等综合医院。</w:t>
      </w:r>
    </w:p>
    <w:p w14:paraId="494C0125">
      <w:pPr>
        <w:numPr>
          <w:ilvl w:val="0"/>
          <w:numId w:val="0"/>
        </w:numPr>
        <w:ind w:firstLine="640" w:firstLineChars="200"/>
        <w:rPr>
          <w:rFonts w:hint="eastAsia" w:ascii="仿宋_GB2312" w:hAnsi="仿宋_GB2312" w:eastAsia="仿宋_GB2312" w:cs="仿宋_GB2312"/>
          <w:color w:val="auto"/>
          <w:sz w:val="32"/>
          <w:szCs w:val="32"/>
          <w:highlight w:val="none"/>
        </w:rPr>
        <w:sectPr>
          <w:footerReference r:id="rId9" w:type="first"/>
          <w:footerReference r:id="rId8" w:type="default"/>
          <w:pgSz w:w="11906" w:h="16838"/>
          <w:pgMar w:top="1440" w:right="1800" w:bottom="1440" w:left="1800" w:header="851" w:footer="992" w:gutter="0"/>
          <w:pgNumType w:fmt="numberInDash" w:start="1"/>
          <w:cols w:space="425" w:num="1"/>
          <w:titlePg/>
          <w:docGrid w:type="lines" w:linePitch="312" w:charSpace="0"/>
        </w:sectPr>
      </w:pPr>
      <w:r>
        <w:rPr>
          <w:rFonts w:hint="eastAsia" w:ascii="仿宋_GB2312" w:hAnsi="仿宋_GB2312" w:eastAsia="仿宋_GB2312" w:cs="仿宋_GB2312"/>
          <w:color w:val="auto"/>
          <w:sz w:val="32"/>
          <w:szCs w:val="32"/>
          <w:highlight w:val="none"/>
        </w:rPr>
        <w:t>医院现设院本部（顺城街院区）、长安院区、马道院区，总占地116.13亩，开放床位1600余张。医院职工人数3170余人，其中，博士、硕士研究生185人，高级职称328人，各级学术技术带头人及后备人选55人。医院拥有GE3.0T核磁共振、医科达直线加速器、飞利浦血管造影系统、西门子双源CT、迈柯唯体外膜肺、16人医用空气加压氧舱等先进的设备。医院于2008年11月通过国家三级甲等综合医院评审，成为四川省民族地区最早的一家三级甲等综合医院，承担着本地区危急重症患者救治的任务。是卫生部紧急救援网络医院、重庆医科大学附属凉山临床教学培训中心、西南医科大学附属医院（非直管）、川北医学院教学医院、省医学科学院·省人民医院（集团）网络医院、凉山州突发性公共卫生事件医疗救援系统医院、四川省肿瘤医院（集团）凉山州分院。对接三级医院远程医疗4家（四川大学华西医院、四川省人民医院、四川省肿瘤医院、北京朝阳医院），医联</w:t>
      </w:r>
    </w:p>
    <w:p w14:paraId="4BDC1454">
      <w:pPr>
        <w:numPr>
          <w:ilvl w:val="0"/>
          <w:numId w:val="0"/>
        </w:num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体对接医院8所，专科联盟对接医院21所。</w:t>
      </w:r>
    </w:p>
    <w:p w14:paraId="564AF880">
      <w:pPr>
        <w:numPr>
          <w:ilvl w:val="0"/>
          <w:numId w:val="0"/>
        </w:num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医院现有37个临床科室，34个护理单元，10个医技科室。拥有儿科、心血管内科、消化内科、肾病内科、胸心血管外科、神经外科、骨科、肝胆胰胃肠外科、医学影像、护理、妇产科、肿瘤科、泌尿外科等14个省级重点专科和27个州级重点专科。医院是第一批国家级住院医师规范化培训基地，目前拥有全科、内科、外科、妇产科、儿科、麻醉科、放射科、超声医学科等8个国家级住院医师规范化培训专业基地和1个省级护士规范化培训基地。2023年成为西南医科大学研究生联合培养基地。</w:t>
      </w:r>
    </w:p>
    <w:p w14:paraId="017E0FD6">
      <w:pPr>
        <w:numPr>
          <w:ilvl w:val="0"/>
          <w:numId w:val="0"/>
        </w:num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近年来，医院以开展“高、精、尖”诊疗技术为导向，以“外科微创化，内科外科化，麻醉普及化”为目标，不断开展新技术，打造区域危急重症医疗高地，集齐胸痛中心、卒中中心、创伤中心、危重孕产妇救治中心、危重儿童和新生儿救治中心五大医疗中心，是全州唯一一家齐备“五大中心”的综合性医院，建成国家医疗健康信息互联互通标准化成熟度四级甲等、四川省三星智慧医院，是凉山州第一家互联网医院。同时，以“五大中心”为引领，推动专科、专病规范化建设，成为国家二级癫痫中心、国家标准化房颤中心建设单位、高血压达标中心、急性上消化道出血救治快速通道救治基地、光明中心、国家PCCM科规范化建设三级医院达标单位、肺小结节全程管理中心、凉山州蛇伤救治中心、凉山州癌防中心等多个专病医疗中心。医院《“互联网+护理服务”构建伤口造口护理新模式，改善老年患者就医体验》被评为全国公立医院高质量发展典型案例，同时被人民网·人民健康聘请入驻“人民好医生客户端”公立医院高质量发展服务平台。</w:t>
      </w:r>
    </w:p>
    <w:p w14:paraId="07FD1A23">
      <w:pPr>
        <w:numPr>
          <w:ilvl w:val="0"/>
          <w:numId w:val="0"/>
        </w:numPr>
        <w:ind w:firstLine="640" w:firstLineChars="200"/>
        <w:rPr>
          <w:rFonts w:hint="eastAsia"/>
          <w:lang w:eastAsia="zh-CN"/>
        </w:rPr>
      </w:pPr>
      <w:r>
        <w:rPr>
          <w:rFonts w:hint="eastAsia" w:ascii="仿宋_GB2312" w:hAnsi="仿宋_GB2312" w:eastAsia="仿宋_GB2312" w:cs="仿宋_GB2312"/>
          <w:color w:val="auto"/>
          <w:sz w:val="32"/>
          <w:szCs w:val="32"/>
          <w:highlight w:val="none"/>
        </w:rPr>
        <w:t>全院职工秉承“全心全意为各族群众健康服务”的宗旨，坚持“仁医仁术，同心同德”的院训，不断提高团队素质、医疗服务质量和教学科研学术水平，努力构建“医疗服务放心医院，民族团结模范医院”。</w:t>
      </w:r>
    </w:p>
    <w:p w14:paraId="0C7C50AD">
      <w:pPr>
        <w:pStyle w:val="6"/>
        <w:outlineLvl w:val="0"/>
        <w:rPr>
          <w:rStyle w:val="29"/>
          <w:rFonts w:ascii="Times New Roman" w:hAnsi="Times New Roman"/>
          <w:b w:val="0"/>
          <w:bCs w:val="0"/>
          <w:color w:val="auto"/>
          <w:highlight w:val="none"/>
        </w:rPr>
      </w:pPr>
      <w:bookmarkStart w:id="16" w:name="_Toc15396601"/>
      <w:bookmarkStart w:id="17" w:name="_Toc15377200"/>
      <w:bookmarkStart w:id="18" w:name="_Toc16774"/>
      <w:bookmarkStart w:id="19" w:name="_Toc5426"/>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6"/>
      <w:bookmarkEnd w:id="17"/>
      <w:bookmarkEnd w:id="18"/>
      <w:bookmarkEnd w:id="19"/>
    </w:p>
    <w:p w14:paraId="49207623">
      <w:pPr>
        <w:ind w:firstLine="640" w:firstLineChars="20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凉山彝族自治州第一人民医院</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451F2EA2">
      <w:pPr>
        <w:pStyle w:val="8"/>
        <w:adjustRightInd w:val="0"/>
        <w:snapToGrid w:val="0"/>
        <w:spacing w:before="93" w:line="600" w:lineRule="exact"/>
        <w:ind w:firstLine="1120" w:firstLineChars="350"/>
        <w:rPr>
          <w:rFonts w:hint="eastAsia" w:ascii="Times New Roman" w:hAnsi="Times New Roman" w:eastAsia="仿宋_GB2312" w:cs="仿宋_GB2312"/>
          <w:color w:val="auto"/>
          <w:sz w:val="32"/>
          <w:szCs w:val="32"/>
          <w:highlight w:val="none"/>
        </w:rPr>
      </w:pPr>
    </w:p>
    <w:p w14:paraId="27C1246A">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3CF3AF06">
      <w:pPr>
        <w:pStyle w:val="5"/>
        <w:jc w:val="center"/>
        <w:rPr>
          <w:rFonts w:hint="eastAsia" w:ascii="Times New Roman" w:hAnsi="Times New Roman" w:eastAsia="方正小标宋简体" w:cs="方正小标宋简体"/>
          <w:b w:val="0"/>
          <w:color w:val="auto"/>
          <w:highlight w:val="none"/>
        </w:rPr>
      </w:pPr>
      <w:bookmarkStart w:id="20" w:name="_Toc3747"/>
      <w:bookmarkStart w:id="21" w:name="_Toc22070"/>
      <w:bookmarkStart w:id="22" w:name="_Toc15396602"/>
      <w:bookmarkStart w:id="23"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单位</w:t>
      </w:r>
      <w:r>
        <w:rPr>
          <w:rFonts w:hint="eastAsia" w:ascii="Times New Roman" w:hAnsi="Times New Roman" w:eastAsia="方正小标宋简体" w:cs="方正小标宋简体"/>
          <w:b w:val="0"/>
          <w:color w:val="auto"/>
          <w:highlight w:val="none"/>
        </w:rPr>
        <w:t>决算情况说明</w:t>
      </w:r>
      <w:bookmarkEnd w:id="20"/>
      <w:bookmarkEnd w:id="21"/>
      <w:bookmarkEnd w:id="22"/>
      <w:bookmarkEnd w:id="23"/>
    </w:p>
    <w:p w14:paraId="727E4FC7">
      <w:pPr>
        <w:rPr>
          <w:rFonts w:ascii="Times New Roman" w:hAnsi="Times New Roman"/>
          <w:color w:val="auto"/>
          <w:highlight w:val="none"/>
        </w:rPr>
      </w:pPr>
    </w:p>
    <w:p w14:paraId="0AE9D69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0"/>
        <w:rPr>
          <w:rStyle w:val="29"/>
          <w:rFonts w:hint="eastAsia" w:ascii="Times New Roman" w:hAnsi="Times New Roman" w:eastAsia="黑体"/>
          <w:b w:val="0"/>
          <w:color w:val="auto"/>
          <w:highlight w:val="none"/>
        </w:rPr>
      </w:pPr>
      <w:bookmarkStart w:id="24" w:name="_Toc15396603"/>
      <w:bookmarkStart w:id="25" w:name="_Toc22092"/>
      <w:bookmarkStart w:id="26" w:name="_Toc15377205"/>
      <w:bookmarkStart w:id="27" w:name="_Toc5420"/>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24"/>
      <w:bookmarkEnd w:id="25"/>
      <w:bookmarkEnd w:id="26"/>
      <w:bookmarkEnd w:id="27"/>
    </w:p>
    <w:p w14:paraId="1A87384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147540.05</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11383.16</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8.36</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2024年我院事业收入较2023年增加较大，以及2024年新增政府性基金预算财政拨款收入，为我院新院区第一期建设项目专项债券资金。</w:t>
      </w:r>
    </w:p>
    <w:p w14:paraId="2F76D6AA">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eastAsia="仿宋_GB2312" w:cs="仿宋_GB2312"/>
          <w:color w:val="auto"/>
          <w:sz w:val="32"/>
          <w:szCs w:val="32"/>
          <w:highlight w:val="none"/>
          <w:lang w:val="en-US" w:eastAsia="zh-CN"/>
        </w:rPr>
      </w:pPr>
    </w:p>
    <w:p w14:paraId="1E8D518E">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pPr>
      <w:r>
        <w:drawing>
          <wp:inline distT="0" distB="0" distL="114300" distR="114300">
            <wp:extent cx="4826000" cy="2743200"/>
            <wp:effectExtent l="4445" t="4445" r="825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808BE5A">
      <w:pPr>
        <w:pStyle w:val="2"/>
      </w:pPr>
    </w:p>
    <w:p w14:paraId="41BD8015">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3E7997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2D65C38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ascii="Times New Roman" w:hAnsi="Times New Roman" w:eastAsia="黑体"/>
          <w:color w:val="auto"/>
          <w:sz w:val="32"/>
          <w:szCs w:val="32"/>
          <w:highlight w:val="none"/>
          <w:lang w:eastAsia="zh-CN"/>
        </w:rPr>
      </w:pPr>
      <w:bookmarkStart w:id="28" w:name="_Toc15396604"/>
      <w:bookmarkStart w:id="29" w:name="_Toc15377206"/>
      <w:bookmarkStart w:id="30" w:name="_Toc10559"/>
      <w:bookmarkStart w:id="31" w:name="_Toc5046"/>
      <w:r>
        <w:rPr>
          <w:rFonts w:hint="eastAsia" w:ascii="Times New Roman" w:hAnsi="Times New Roman" w:eastAsia="黑体"/>
          <w:color w:val="auto"/>
          <w:sz w:val="32"/>
          <w:szCs w:val="32"/>
          <w:highlight w:val="none"/>
          <w:lang w:eastAsia="zh-CN"/>
        </w:rPr>
        <w:t>二、收入决算情况说明</w:t>
      </w:r>
      <w:bookmarkEnd w:id="28"/>
      <w:bookmarkEnd w:id="29"/>
      <w:bookmarkEnd w:id="30"/>
      <w:bookmarkEnd w:id="31"/>
    </w:p>
    <w:p w14:paraId="0086C7C1">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outlineLvl w:val="9"/>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141079.97万元，其中：一般公共预算财政拨款收入14024.05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9.94</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9300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6.59%</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115191.47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81.64</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2564.45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1.81</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w:t>
      </w:r>
      <w:r>
        <w:rPr>
          <w:rFonts w:hint="eastAsia" w:eastAsia="仿宋_GB2312" w:cs="仿宋_GB2312"/>
          <w:b/>
          <w:bCs/>
          <w:color w:val="auto"/>
          <w:sz w:val="32"/>
          <w:szCs w:val="32"/>
          <w:highlight w:val="none"/>
          <w:lang w:eastAsia="zh-CN"/>
        </w:rPr>
        <w:t>单位</w:t>
      </w:r>
      <w:r>
        <w:rPr>
          <w:rFonts w:hint="eastAsia" w:ascii="Times New Roman" w:hAnsi="Times New Roman" w:eastAsia="仿宋_GB2312" w:cs="仿宋_GB2312"/>
          <w:b/>
          <w:bCs/>
          <w:color w:val="auto"/>
          <w:sz w:val="32"/>
          <w:szCs w:val="32"/>
          <w:highlight w:val="none"/>
          <w:lang w:eastAsia="zh-CN"/>
        </w:rPr>
        <w:t>涉及的</w:t>
      </w:r>
      <w:r>
        <w:rPr>
          <w:rFonts w:hint="eastAsia" w:eastAsia="仿宋_GB2312" w:cs="仿宋_GB2312"/>
          <w:b/>
          <w:bCs/>
          <w:color w:val="auto"/>
          <w:sz w:val="32"/>
          <w:szCs w:val="32"/>
          <w:highlight w:val="none"/>
          <w:lang w:eastAsia="zh-CN"/>
        </w:rPr>
        <w:t>收入</w:t>
      </w:r>
      <w:r>
        <w:rPr>
          <w:rFonts w:hint="eastAsia" w:ascii="Times New Roman" w:hAnsi="Times New Roman" w:eastAsia="仿宋_GB2312" w:cs="仿宋_GB2312"/>
          <w:b/>
          <w:bCs/>
          <w:color w:val="auto"/>
          <w:sz w:val="32"/>
          <w:szCs w:val="32"/>
          <w:highlight w:val="none"/>
          <w:lang w:eastAsia="zh-CN"/>
        </w:rPr>
        <w:t>）</w:t>
      </w:r>
    </w:p>
    <w:p w14:paraId="30D83F3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Times New Roman" w:hAnsi="Times New Roman" w:eastAsia="仿宋_GB2312" w:cs="仿宋_GB2312"/>
          <w:b/>
          <w:bCs/>
          <w:color w:val="auto"/>
          <w:sz w:val="32"/>
          <w:szCs w:val="32"/>
          <w:highlight w:val="none"/>
          <w:lang w:eastAsia="zh-CN"/>
        </w:rPr>
      </w:pPr>
    </w:p>
    <w:p w14:paraId="34CA1F8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auto"/>
          <w:sz w:val="32"/>
          <w:szCs w:val="32"/>
          <w:highlight w:val="none"/>
          <w:lang w:eastAsia="zh-CN"/>
        </w:rPr>
      </w:pPr>
    </w:p>
    <w:p w14:paraId="24FB1E0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9"/>
      </w:pPr>
    </w:p>
    <w:p w14:paraId="51CC2EE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9"/>
      </w:pPr>
    </w:p>
    <w:p w14:paraId="6A2148C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9"/>
      </w:pPr>
    </w:p>
    <w:p w14:paraId="449776A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9"/>
      </w:pPr>
    </w:p>
    <w:p w14:paraId="18F68F0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9"/>
      </w:pPr>
    </w:p>
    <w:p w14:paraId="413A147A">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9"/>
      </w:pPr>
    </w:p>
    <w:p w14:paraId="53B4130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center"/>
        <w:textAlignment w:val="auto"/>
        <w:outlineLvl w:val="9"/>
        <w:rPr>
          <w:rFonts w:hint="eastAsia"/>
          <w:lang w:eastAsia="zh-CN"/>
        </w:rPr>
      </w:pPr>
      <w:r>
        <w:drawing>
          <wp:anchor distT="0" distB="0" distL="114300" distR="114300" simplePos="0" relativeHeight="251659264" behindDoc="0" locked="0" layoutInCell="1" allowOverlap="1">
            <wp:simplePos x="0" y="0"/>
            <wp:positionH relativeFrom="column">
              <wp:posOffset>355600</wp:posOffset>
            </wp:positionH>
            <wp:positionV relativeFrom="paragraph">
              <wp:posOffset>-2453005</wp:posOffset>
            </wp:positionV>
            <wp:extent cx="4826000" cy="2743200"/>
            <wp:effectExtent l="4445" t="4445" r="825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0134773A">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6D1898C9">
      <w:pPr>
        <w:ind w:firstLine="800" w:firstLineChars="250"/>
        <w:rPr>
          <w:rFonts w:hint="eastAsia" w:ascii="Times New Roman" w:hAnsi="Times New Roman" w:eastAsia="仿宋_GB2312" w:cs="仿宋_GB2312"/>
          <w:color w:val="auto"/>
          <w:sz w:val="32"/>
          <w:szCs w:val="32"/>
          <w:highlight w:val="none"/>
          <w:lang w:eastAsia="zh-CN"/>
        </w:rPr>
      </w:pPr>
    </w:p>
    <w:p w14:paraId="3303763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0"/>
        <w:rPr>
          <w:rStyle w:val="29"/>
          <w:rFonts w:hint="eastAsia" w:ascii="Times New Roman" w:hAnsi="Times New Roman" w:eastAsia="黑体"/>
          <w:b w:val="0"/>
          <w:color w:val="auto"/>
          <w:highlight w:val="none"/>
        </w:rPr>
      </w:pPr>
      <w:bookmarkStart w:id="32" w:name="_Toc24966"/>
      <w:bookmarkStart w:id="33" w:name="_Toc19919"/>
      <w:bookmarkStart w:id="34" w:name="_Toc15396605"/>
      <w:bookmarkStart w:id="35"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32"/>
      <w:bookmarkEnd w:id="33"/>
      <w:bookmarkEnd w:id="34"/>
      <w:bookmarkEnd w:id="35"/>
    </w:p>
    <w:p w14:paraId="2AF2D08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outlineLvl w:val="9"/>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147540.05</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125416.16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85</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22123.89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14.99</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w:t>
      </w:r>
      <w:r>
        <w:rPr>
          <w:rFonts w:hint="eastAsia" w:eastAsia="仿宋_GB2312" w:cs="仿宋_GB2312"/>
          <w:b/>
          <w:bCs/>
          <w:color w:val="auto"/>
          <w:sz w:val="32"/>
          <w:szCs w:val="32"/>
          <w:highlight w:val="none"/>
          <w:lang w:eastAsia="zh-CN"/>
        </w:rPr>
        <w:t>单位</w:t>
      </w:r>
      <w:r>
        <w:rPr>
          <w:rFonts w:hint="eastAsia" w:ascii="Times New Roman" w:hAnsi="Times New Roman" w:eastAsia="仿宋_GB2312" w:cs="仿宋_GB2312"/>
          <w:b/>
          <w:bCs/>
          <w:color w:val="auto"/>
          <w:sz w:val="32"/>
          <w:szCs w:val="32"/>
          <w:highlight w:val="none"/>
          <w:lang w:eastAsia="zh-CN"/>
        </w:rPr>
        <w:t>涉及的支出）</w:t>
      </w:r>
    </w:p>
    <w:p w14:paraId="02C61B4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Times New Roman" w:hAnsi="Times New Roman" w:eastAsia="仿宋_GB2312" w:cs="仿宋_GB2312"/>
          <w:b/>
          <w:bCs/>
          <w:color w:val="auto"/>
          <w:sz w:val="32"/>
          <w:szCs w:val="32"/>
          <w:highlight w:val="none"/>
          <w:lang w:eastAsia="zh-CN"/>
        </w:rPr>
      </w:pPr>
    </w:p>
    <w:p w14:paraId="7519F210">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4826000" cy="2743200"/>
            <wp:effectExtent l="4445" t="4445" r="82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hint="eastAsia" w:ascii="Times New Roman" w:hAnsi="Times New Roman" w:eastAsia="仿宋_GB2312" w:cs="仿宋_GB2312"/>
          <w:color w:val="auto"/>
          <w:sz w:val="32"/>
          <w:szCs w:val="32"/>
          <w:highlight w:val="none"/>
          <w:lang w:eastAsia="zh-CN"/>
        </w:rPr>
        <w:t>（图3：支出决算结构图）（饼状图）</w:t>
      </w:r>
    </w:p>
    <w:p w14:paraId="0BA2B75D">
      <w:pPr>
        <w:ind w:firstLine="800" w:firstLineChars="250"/>
        <w:rPr>
          <w:rFonts w:hint="eastAsia" w:ascii="Times New Roman" w:hAnsi="Times New Roman" w:eastAsia="仿宋_GB2312" w:cs="仿宋_GB2312"/>
          <w:color w:val="auto"/>
          <w:sz w:val="32"/>
          <w:szCs w:val="32"/>
          <w:highlight w:val="none"/>
          <w:lang w:eastAsia="zh-CN"/>
        </w:rPr>
      </w:pPr>
    </w:p>
    <w:p w14:paraId="397B134B">
      <w:pPr>
        <w:spacing w:line="600" w:lineRule="exact"/>
        <w:ind w:firstLine="640" w:firstLineChars="200"/>
        <w:outlineLvl w:val="0"/>
        <w:rPr>
          <w:rStyle w:val="29"/>
          <w:rFonts w:ascii="Times New Roman" w:hAnsi="Times New Roman" w:eastAsia="黑体"/>
          <w:b w:val="0"/>
          <w:color w:val="auto"/>
          <w:highlight w:val="none"/>
        </w:rPr>
      </w:pPr>
      <w:bookmarkStart w:id="36" w:name="_Toc15396606"/>
      <w:bookmarkStart w:id="37" w:name="_Toc15377208"/>
      <w:bookmarkStart w:id="38" w:name="_Toc30294"/>
      <w:bookmarkStart w:id="39" w:name="_Toc26811"/>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36"/>
      <w:bookmarkEnd w:id="37"/>
      <w:bookmarkEnd w:id="38"/>
      <w:bookmarkEnd w:id="39"/>
    </w:p>
    <w:p w14:paraId="0EFA593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23324.05</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万元。与2023年度相比，财政拨款收入总计、支出总计各减少1974.81万元，下降</w:t>
      </w:r>
      <w:r>
        <w:rPr>
          <w:rFonts w:hint="eastAsia" w:eastAsia="仿宋_GB2312" w:cs="仿宋_GB2312"/>
          <w:color w:val="auto"/>
          <w:kern w:val="2"/>
          <w:sz w:val="32"/>
          <w:szCs w:val="32"/>
          <w:highlight w:val="none"/>
          <w:lang w:val="en-US" w:eastAsia="zh-CN" w:bidi="ar-SA"/>
        </w:rPr>
        <w:t>7.81</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2023年我院</w:t>
      </w:r>
      <w:r>
        <w:rPr>
          <w:rFonts w:hint="eastAsia" w:ascii="Times New Roman" w:hAnsi="Times New Roman" w:eastAsia="仿宋_GB2312" w:cs="仿宋_GB2312"/>
          <w:color w:val="auto"/>
          <w:kern w:val="2"/>
          <w:sz w:val="32"/>
          <w:szCs w:val="32"/>
          <w:highlight w:val="none"/>
          <w:lang w:val="en-US" w:eastAsia="zh-CN" w:bidi="ar-SA"/>
        </w:rPr>
        <w:t>危急重症综合救治中心（省级区域医疗中心）建设项目</w:t>
      </w:r>
      <w:r>
        <w:rPr>
          <w:rFonts w:hint="eastAsia" w:eastAsia="仿宋_GB2312" w:cs="仿宋_GB2312"/>
          <w:color w:val="auto"/>
          <w:kern w:val="2"/>
          <w:sz w:val="32"/>
          <w:szCs w:val="32"/>
          <w:highlight w:val="none"/>
          <w:lang w:val="en-US" w:eastAsia="zh-CN" w:bidi="ar-SA"/>
        </w:rPr>
        <w:t>财政拨款收入支出增加。</w:t>
      </w:r>
    </w:p>
    <w:p w14:paraId="196CE50A">
      <w:pPr>
        <w:pStyle w:val="2"/>
        <w:rPr>
          <w:rFonts w:hint="eastAsia"/>
          <w:lang w:val="en-US" w:eastAsia="zh-CN"/>
        </w:rPr>
      </w:pPr>
    </w:p>
    <w:p w14:paraId="406C8FD9">
      <w:pPr>
        <w:pStyle w:val="2"/>
        <w:jc w:val="center"/>
        <w:rPr>
          <w:rFonts w:hint="eastAsia"/>
          <w:lang w:val="en-US" w:eastAsia="zh-CN"/>
        </w:rPr>
      </w:pPr>
      <w:r>
        <w:drawing>
          <wp:inline distT="0" distB="0" distL="114300" distR="114300">
            <wp:extent cx="4826000" cy="2743200"/>
            <wp:effectExtent l="4445" t="4445" r="825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E0740E7">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7A5576D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B292926">
      <w:pPr>
        <w:spacing w:line="600" w:lineRule="exact"/>
        <w:ind w:firstLine="640" w:firstLineChars="200"/>
        <w:outlineLvl w:val="0"/>
        <w:rPr>
          <w:rStyle w:val="29"/>
          <w:rFonts w:ascii="Times New Roman" w:hAnsi="Times New Roman" w:eastAsia="黑体"/>
          <w:b w:val="0"/>
          <w:color w:val="auto"/>
          <w:highlight w:val="none"/>
        </w:rPr>
      </w:pPr>
      <w:bookmarkStart w:id="40" w:name="_Toc15396607"/>
      <w:bookmarkStart w:id="41" w:name="_Toc23135"/>
      <w:bookmarkStart w:id="42" w:name="_Toc11984"/>
      <w:bookmarkStart w:id="43"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40"/>
      <w:bookmarkEnd w:id="41"/>
      <w:bookmarkEnd w:id="42"/>
      <w:bookmarkEnd w:id="43"/>
    </w:p>
    <w:p w14:paraId="3866FF69">
      <w:pPr>
        <w:spacing w:line="600" w:lineRule="exact"/>
        <w:ind w:firstLine="643" w:firstLineChars="200"/>
        <w:outlineLvl w:val="1"/>
        <w:rPr>
          <w:rFonts w:hint="eastAsia" w:ascii="Times New Roman" w:hAnsi="Times New Roman" w:eastAsia="楷体_GB2312" w:cs="楷体_GB2312"/>
          <w:b/>
          <w:color w:val="auto"/>
          <w:sz w:val="32"/>
          <w:szCs w:val="32"/>
          <w:highlight w:val="none"/>
        </w:rPr>
      </w:pPr>
      <w:bookmarkStart w:id="44" w:name="_Toc20772"/>
      <w:bookmarkStart w:id="45" w:name="_Toc9244"/>
      <w:bookmarkStart w:id="46"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44"/>
      <w:bookmarkEnd w:id="45"/>
      <w:bookmarkEnd w:id="46"/>
    </w:p>
    <w:p w14:paraId="02E97940">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14024.05</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9.5</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%。与2023年度相比，一般公共预算财政拨款支出减少11274.81万元，下降44.57%。主要变动原因是2023年我院危急重症综合救治中心（省级区域医疗中心）建设项目财政拨款支出增加。</w:t>
      </w:r>
    </w:p>
    <w:p w14:paraId="186F15CB">
      <w:pPr>
        <w:pStyle w:val="2"/>
        <w:rPr>
          <w:rFonts w:hint="eastAsia" w:ascii="仿宋_GB2312" w:hAnsi="仿宋_GB2312" w:eastAsia="仿宋_GB2312" w:cs="仿宋_GB2312"/>
          <w:color w:val="auto"/>
          <w:kern w:val="2"/>
          <w:sz w:val="32"/>
          <w:szCs w:val="32"/>
          <w:highlight w:val="none"/>
          <w:lang w:val="en-US" w:eastAsia="zh-CN" w:bidi="ar-SA"/>
        </w:rPr>
      </w:pPr>
    </w:p>
    <w:p w14:paraId="5645CB31">
      <w:pPr>
        <w:pStyle w:val="3"/>
        <w:jc w:val="center"/>
        <w:rPr>
          <w:rFonts w:hint="eastAsia"/>
          <w:lang w:val="en-US" w:eastAsia="zh-CN"/>
        </w:rPr>
      </w:pPr>
      <w:r>
        <w:drawing>
          <wp:inline distT="0" distB="0" distL="114300" distR="114300">
            <wp:extent cx="4826000" cy="2743200"/>
            <wp:effectExtent l="4445" t="4445" r="8255" b="1460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86CC22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7D4659A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10DF7F2">
      <w:pPr>
        <w:spacing w:line="600" w:lineRule="exact"/>
        <w:ind w:firstLine="643" w:firstLineChars="200"/>
        <w:outlineLvl w:val="1"/>
        <w:rPr>
          <w:rFonts w:hint="eastAsia" w:ascii="Times New Roman" w:hAnsi="Times New Roman" w:eastAsia="楷体_GB2312" w:cs="楷体_GB2312"/>
          <w:b/>
          <w:color w:val="auto"/>
          <w:sz w:val="32"/>
          <w:szCs w:val="32"/>
          <w:highlight w:val="none"/>
        </w:rPr>
      </w:pPr>
      <w:bookmarkStart w:id="47" w:name="_Toc15377211"/>
      <w:bookmarkStart w:id="48" w:name="_Toc8469"/>
      <w:bookmarkStart w:id="49" w:name="_Toc3481"/>
      <w:r>
        <w:rPr>
          <w:rFonts w:hint="eastAsia" w:ascii="Times New Roman" w:hAnsi="Times New Roman" w:eastAsia="楷体_GB2312" w:cs="楷体_GB2312"/>
          <w:b/>
          <w:color w:val="auto"/>
          <w:sz w:val="32"/>
          <w:szCs w:val="32"/>
          <w:highlight w:val="none"/>
        </w:rPr>
        <w:t>（二）一般公共预算财政拨款支出决算结构情况</w:t>
      </w:r>
      <w:bookmarkEnd w:id="47"/>
      <w:bookmarkEnd w:id="48"/>
      <w:bookmarkEnd w:id="49"/>
    </w:p>
    <w:p w14:paraId="3C6EF24B">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14024.05</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0.01</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2.76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0.02</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2979.16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21.24</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11030.51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78.65</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节能环保支出9.62万元，</w:t>
      </w:r>
      <w:r>
        <w:rPr>
          <w:rFonts w:hint="eastAsia" w:ascii="Times New Roman" w:hAnsi="Times New Roman" w:eastAsia="仿宋_GB2312" w:cs="仿宋_GB2312"/>
          <w:color w:val="auto"/>
          <w:kern w:val="2"/>
          <w:sz w:val="32"/>
          <w:szCs w:val="32"/>
          <w:highlight w:val="none"/>
          <w:lang w:val="en-US" w:eastAsia="zh-CN" w:bidi="ar-SA"/>
        </w:rPr>
        <w:t>占</w:t>
      </w:r>
      <w:r>
        <w:rPr>
          <w:rFonts w:hint="eastAsia" w:eastAsia="仿宋_GB2312" w:cs="仿宋_GB2312"/>
          <w:color w:val="auto"/>
          <w:kern w:val="2"/>
          <w:sz w:val="32"/>
          <w:szCs w:val="32"/>
          <w:highlight w:val="none"/>
          <w:lang w:val="en-US" w:eastAsia="zh-CN" w:bidi="ar-SA"/>
        </w:rPr>
        <w:t>0.07</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（注：仅罗列本</w:t>
      </w:r>
      <w:r>
        <w:rPr>
          <w:rFonts w:hint="eastAsia" w:eastAsia="仿宋_GB2312" w:cs="仿宋_GB2312"/>
          <w:b/>
          <w:bCs/>
          <w:color w:val="auto"/>
          <w:kern w:val="2"/>
          <w:sz w:val="32"/>
          <w:szCs w:val="32"/>
          <w:highlight w:val="none"/>
          <w:lang w:val="en-US" w:eastAsia="zh-CN" w:bidi="ar-SA"/>
        </w:rPr>
        <w:t>单位</w:t>
      </w:r>
      <w:r>
        <w:rPr>
          <w:rFonts w:hint="eastAsia" w:ascii="Times New Roman" w:hAnsi="Times New Roman" w:eastAsia="仿宋_GB2312" w:cs="仿宋_GB2312"/>
          <w:b/>
          <w:bCs/>
          <w:color w:val="auto"/>
          <w:kern w:val="2"/>
          <w:sz w:val="32"/>
          <w:szCs w:val="32"/>
          <w:highlight w:val="none"/>
          <w:lang w:val="en-US" w:eastAsia="zh-CN" w:bidi="ar-SA"/>
        </w:rPr>
        <w:t>涉及的全部功能分类科目，至类级）</w:t>
      </w:r>
    </w:p>
    <w:p w14:paraId="23EF86C6">
      <w:pPr>
        <w:pStyle w:val="2"/>
        <w:rPr>
          <w:rFonts w:hint="eastAsia" w:ascii="Times New Roman" w:hAnsi="Times New Roman" w:eastAsia="仿宋_GB2312" w:cs="仿宋_GB2312"/>
          <w:b/>
          <w:bCs/>
          <w:color w:val="auto"/>
          <w:kern w:val="2"/>
          <w:sz w:val="32"/>
          <w:szCs w:val="32"/>
          <w:highlight w:val="none"/>
          <w:lang w:val="en-US" w:eastAsia="zh-CN" w:bidi="ar-SA"/>
        </w:rPr>
      </w:pPr>
    </w:p>
    <w:p w14:paraId="370E7362">
      <w:pPr>
        <w:pStyle w:val="3"/>
        <w:jc w:val="both"/>
        <w:rPr>
          <w:rFonts w:hint="eastAsia"/>
          <w:lang w:val="en-US" w:eastAsia="zh-CN"/>
        </w:rPr>
      </w:pPr>
      <w:r>
        <w:drawing>
          <wp:inline distT="0" distB="0" distL="114300" distR="114300">
            <wp:extent cx="4826000" cy="2794000"/>
            <wp:effectExtent l="4445" t="4445" r="8255" b="2095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E19596A">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0AD48EB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1BE282A">
      <w:pPr>
        <w:spacing w:line="600" w:lineRule="exact"/>
        <w:ind w:firstLine="643" w:firstLineChars="200"/>
        <w:outlineLvl w:val="1"/>
        <w:rPr>
          <w:rFonts w:hint="eastAsia" w:ascii="Times New Roman" w:hAnsi="Times New Roman" w:eastAsia="楷体_GB2312" w:cs="楷体_GB2312"/>
          <w:b/>
          <w:color w:val="auto"/>
          <w:sz w:val="32"/>
          <w:szCs w:val="32"/>
          <w:highlight w:val="none"/>
        </w:rPr>
      </w:pPr>
      <w:bookmarkStart w:id="50" w:name="_Toc15377212"/>
      <w:bookmarkStart w:id="51" w:name="_Toc32233"/>
      <w:bookmarkStart w:id="52" w:name="_Toc21746"/>
      <w:r>
        <w:rPr>
          <w:rFonts w:hint="eastAsia" w:ascii="Times New Roman" w:hAnsi="Times New Roman" w:eastAsia="楷体_GB2312" w:cs="楷体_GB2312"/>
          <w:b/>
          <w:color w:val="auto"/>
          <w:sz w:val="32"/>
          <w:szCs w:val="32"/>
          <w:highlight w:val="none"/>
        </w:rPr>
        <w:t>（三）一般公共预算财政拨款支出决算具体情况</w:t>
      </w:r>
      <w:bookmarkEnd w:id="50"/>
      <w:bookmarkEnd w:id="51"/>
      <w:bookmarkEnd w:id="52"/>
    </w:p>
    <w:p w14:paraId="1BC521E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53" w:name="_Toc15377213"/>
      <w:bookmarkStart w:id="54" w:name="_Toc15378460"/>
      <w:bookmarkStart w:id="55"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14024.05</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53"/>
      <w:bookmarkEnd w:id="54"/>
      <w:bookmarkEnd w:id="55"/>
    </w:p>
    <w:p w14:paraId="0F2BC6F8">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一般公共服务（类）市场监督管理事务（款）药品事务（项）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D7E2E31">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2.科学技术（类）技术研究与开发（款）其他技术研究与开发支出（项）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2.76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3334B2D">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.社会保障和就业（类）人力资源和社会保障管理事务（款）其他人力资源和社会保障管理事务支出（项）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6.72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EDB70E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社会保障和就业（类）行政事业单位养老支出（款）事业单位离退休（项）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w:t>
      </w:r>
      <w:r>
        <w:rPr>
          <w:rFonts w:hint="eastAsia" w:eastAsia="仿宋_GB2312" w:cs="仿宋_GB2312"/>
          <w:color w:val="auto"/>
          <w:kern w:val="2"/>
          <w:sz w:val="32"/>
          <w:szCs w:val="32"/>
          <w:highlight w:val="none"/>
          <w:lang w:val="en-US" w:eastAsia="zh-CN" w:bidi="ar-SA"/>
        </w:rPr>
        <w:t>2147.62</w:t>
      </w:r>
      <w:r>
        <w:rPr>
          <w:rFonts w:hint="eastAsia" w:ascii="Times New Roman" w:hAnsi="Times New Roman" w:eastAsia="仿宋_GB2312" w:cs="仿宋_GB2312"/>
          <w:color w:val="auto"/>
          <w:kern w:val="2"/>
          <w:sz w:val="32"/>
          <w:szCs w:val="32"/>
          <w:highlight w:val="none"/>
          <w:lang w:val="en-US" w:eastAsia="zh-CN" w:bidi="ar-SA"/>
        </w:rPr>
        <w:t>万元，完成预算100%。</w:t>
      </w:r>
    </w:p>
    <w:p w14:paraId="164272D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w:t>
      </w:r>
      <w:r>
        <w:rPr>
          <w:rFonts w:hint="eastAsia" w:eastAsia="仿宋_GB2312" w:cs="仿宋_GB2312"/>
          <w:color w:val="auto"/>
          <w:kern w:val="2"/>
          <w:sz w:val="32"/>
          <w:szCs w:val="32"/>
          <w:highlight w:val="none"/>
          <w:lang w:val="en-US" w:eastAsia="zh-CN" w:bidi="ar-SA"/>
        </w:rPr>
        <w:t>544.71</w:t>
      </w:r>
      <w:r>
        <w:rPr>
          <w:rFonts w:hint="eastAsia" w:ascii="Times New Roman" w:hAnsi="Times New Roman" w:eastAsia="仿宋_GB2312" w:cs="仿宋_GB2312"/>
          <w:color w:val="auto"/>
          <w:kern w:val="2"/>
          <w:sz w:val="32"/>
          <w:szCs w:val="32"/>
          <w:highlight w:val="none"/>
          <w:lang w:val="en-US" w:eastAsia="zh-CN" w:bidi="ar-SA"/>
        </w:rPr>
        <w:t>万元，完成预算100%。</w:t>
      </w:r>
    </w:p>
    <w:p w14:paraId="660A080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w:t>
      </w:r>
      <w:r>
        <w:rPr>
          <w:rFonts w:hint="eastAsia" w:eastAsia="仿宋_GB2312" w:cs="仿宋_GB2312"/>
          <w:color w:val="auto"/>
          <w:kern w:val="2"/>
          <w:sz w:val="32"/>
          <w:szCs w:val="32"/>
          <w:highlight w:val="none"/>
          <w:lang w:val="en-US" w:eastAsia="zh-CN" w:bidi="ar-SA"/>
        </w:rPr>
        <w:t>277.96</w:t>
      </w:r>
      <w:r>
        <w:rPr>
          <w:rFonts w:hint="eastAsia" w:ascii="Times New Roman" w:hAnsi="Times New Roman" w:eastAsia="仿宋_GB2312" w:cs="仿宋_GB2312"/>
          <w:color w:val="auto"/>
          <w:kern w:val="2"/>
          <w:sz w:val="32"/>
          <w:szCs w:val="32"/>
          <w:highlight w:val="none"/>
          <w:lang w:val="en-US" w:eastAsia="zh-CN" w:bidi="ar-SA"/>
        </w:rPr>
        <w:t>万元，完成预算100%。</w:t>
      </w:r>
    </w:p>
    <w:p w14:paraId="470D22B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2.15</w:t>
      </w:r>
      <w:r>
        <w:rPr>
          <w:rFonts w:hint="eastAsia" w:ascii="Times New Roman" w:hAnsi="Times New Roman" w:eastAsia="仿宋_GB2312" w:cs="仿宋_GB2312"/>
          <w:color w:val="auto"/>
          <w:kern w:val="2"/>
          <w:sz w:val="32"/>
          <w:szCs w:val="32"/>
          <w:highlight w:val="none"/>
          <w:lang w:val="en-US" w:eastAsia="zh-CN" w:bidi="ar-SA"/>
        </w:rPr>
        <w:t>万元，完成预算100%。</w:t>
      </w:r>
    </w:p>
    <w:p w14:paraId="1D335CF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.卫生健康支出（类）公立医院（款）综合医院（项）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5644.20</w:t>
      </w:r>
      <w:r>
        <w:rPr>
          <w:rFonts w:hint="eastAsia" w:ascii="Times New Roman" w:hAnsi="Times New Roman" w:eastAsia="仿宋_GB2312" w:cs="仿宋_GB2312"/>
          <w:color w:val="auto"/>
          <w:kern w:val="2"/>
          <w:sz w:val="32"/>
          <w:szCs w:val="32"/>
          <w:highlight w:val="none"/>
          <w:lang w:val="en-US" w:eastAsia="zh-CN" w:bidi="ar-SA"/>
        </w:rPr>
        <w:t>万元，完成预算100%。</w:t>
      </w:r>
    </w:p>
    <w:p w14:paraId="207EC11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.卫生健康支出（类）公立医院（款）其他公立医院支出（项）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1006.60</w:t>
      </w:r>
      <w:r>
        <w:rPr>
          <w:rFonts w:hint="eastAsia" w:ascii="Times New Roman" w:hAnsi="Times New Roman" w:eastAsia="仿宋_GB2312" w:cs="仿宋_GB2312"/>
          <w:color w:val="auto"/>
          <w:kern w:val="2"/>
          <w:sz w:val="32"/>
          <w:szCs w:val="32"/>
          <w:highlight w:val="none"/>
          <w:lang w:val="en-US" w:eastAsia="zh-CN" w:bidi="ar-SA"/>
        </w:rPr>
        <w:t>万元，完成预算100%。</w:t>
      </w:r>
    </w:p>
    <w:p w14:paraId="04B5561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.卫生健康支出（类）公共卫生（款）重大公共卫生服务（项）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w:t>
      </w:r>
      <w:r>
        <w:rPr>
          <w:rFonts w:hint="eastAsia" w:eastAsia="仿宋_GB2312" w:cs="仿宋_GB2312"/>
          <w:color w:val="auto"/>
          <w:kern w:val="2"/>
          <w:sz w:val="32"/>
          <w:szCs w:val="32"/>
          <w:highlight w:val="none"/>
          <w:lang w:val="en-US" w:eastAsia="zh-CN" w:bidi="ar-SA"/>
        </w:rPr>
        <w:t>52.35</w:t>
      </w:r>
      <w:r>
        <w:rPr>
          <w:rFonts w:hint="eastAsia" w:ascii="Times New Roman" w:hAnsi="Times New Roman" w:eastAsia="仿宋_GB2312" w:cs="仿宋_GB2312"/>
          <w:color w:val="auto"/>
          <w:kern w:val="2"/>
          <w:sz w:val="32"/>
          <w:szCs w:val="32"/>
          <w:highlight w:val="none"/>
          <w:lang w:val="en-US" w:eastAsia="zh-CN" w:bidi="ar-SA"/>
        </w:rPr>
        <w:t xml:space="preserve">万元，完成预算100%。 </w:t>
      </w:r>
    </w:p>
    <w:p w14:paraId="053D090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卫生健康支出（类）公共卫生（款）突发公共卫生事件应急处理（项）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w:t>
      </w:r>
      <w:r>
        <w:rPr>
          <w:rFonts w:hint="eastAsia" w:eastAsia="仿宋_GB2312" w:cs="仿宋_GB2312"/>
          <w:color w:val="auto"/>
          <w:kern w:val="2"/>
          <w:sz w:val="32"/>
          <w:szCs w:val="32"/>
          <w:highlight w:val="none"/>
          <w:lang w:val="en-US" w:eastAsia="zh-CN" w:bidi="ar-SA"/>
        </w:rPr>
        <w:t>112.08</w:t>
      </w:r>
      <w:r>
        <w:rPr>
          <w:rFonts w:hint="eastAsia" w:ascii="Times New Roman" w:hAnsi="Times New Roman" w:eastAsia="仿宋_GB2312" w:cs="仿宋_GB2312"/>
          <w:color w:val="auto"/>
          <w:kern w:val="2"/>
          <w:sz w:val="32"/>
          <w:szCs w:val="32"/>
          <w:highlight w:val="none"/>
          <w:lang w:val="en-US" w:eastAsia="zh-CN" w:bidi="ar-SA"/>
        </w:rPr>
        <w:t>万元，完成预算的100%。</w:t>
      </w:r>
    </w:p>
    <w:p w14:paraId="0B07752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.卫生健康支出（类）公共卫生（款）其他公共卫生支出（项）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w:t>
      </w:r>
      <w:r>
        <w:rPr>
          <w:rFonts w:hint="eastAsia" w:eastAsia="仿宋_GB2312" w:cs="仿宋_GB2312"/>
          <w:color w:val="auto"/>
          <w:kern w:val="2"/>
          <w:sz w:val="32"/>
          <w:szCs w:val="32"/>
          <w:highlight w:val="none"/>
          <w:lang w:val="en-US" w:eastAsia="zh-CN" w:bidi="ar-SA"/>
        </w:rPr>
        <w:t>324.41</w:t>
      </w:r>
      <w:r>
        <w:rPr>
          <w:rFonts w:hint="eastAsia" w:ascii="Times New Roman" w:hAnsi="Times New Roman" w:eastAsia="仿宋_GB2312" w:cs="仿宋_GB2312"/>
          <w:color w:val="auto"/>
          <w:kern w:val="2"/>
          <w:sz w:val="32"/>
          <w:szCs w:val="32"/>
          <w:highlight w:val="none"/>
          <w:lang w:val="en-US" w:eastAsia="zh-CN" w:bidi="ar-SA"/>
        </w:rPr>
        <w:t>万元，完成预算的100%。</w:t>
      </w:r>
    </w:p>
    <w:p w14:paraId="5119E54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13.卫生健康支出（类）行政事业单位医疗（款）其他行政事业单位医疗支出（项）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w:t>
      </w:r>
      <w:r>
        <w:rPr>
          <w:rFonts w:hint="eastAsia" w:eastAsia="仿宋_GB2312" w:cs="仿宋_GB2312"/>
          <w:color w:val="auto"/>
          <w:kern w:val="2"/>
          <w:sz w:val="32"/>
          <w:szCs w:val="32"/>
          <w:highlight w:val="none"/>
          <w:lang w:val="en-US" w:eastAsia="zh-CN" w:bidi="ar-SA"/>
        </w:rPr>
        <w:t>325.79</w:t>
      </w:r>
      <w:r>
        <w:rPr>
          <w:rFonts w:hint="eastAsia" w:ascii="Times New Roman" w:hAnsi="Times New Roman" w:eastAsia="仿宋_GB2312" w:cs="仿宋_GB2312"/>
          <w:color w:val="auto"/>
          <w:kern w:val="2"/>
          <w:sz w:val="32"/>
          <w:szCs w:val="32"/>
          <w:highlight w:val="none"/>
          <w:lang w:val="en-US" w:eastAsia="zh-CN" w:bidi="ar-SA"/>
        </w:rPr>
        <w:t>万元，完成预算的100%。</w:t>
      </w:r>
    </w:p>
    <w:p w14:paraId="57B44C9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14.卫生健康支出（类）其他卫生健康支出（款）其他卫生健康支出（项）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w:t>
      </w:r>
      <w:r>
        <w:rPr>
          <w:rFonts w:hint="eastAsia" w:eastAsia="仿宋_GB2312" w:cs="仿宋_GB2312"/>
          <w:color w:val="auto"/>
          <w:kern w:val="2"/>
          <w:sz w:val="32"/>
          <w:szCs w:val="32"/>
          <w:highlight w:val="none"/>
          <w:lang w:val="en-US" w:eastAsia="zh-CN" w:bidi="ar-SA"/>
        </w:rPr>
        <w:t>3565.08</w:t>
      </w:r>
      <w:r>
        <w:rPr>
          <w:rFonts w:hint="eastAsia" w:ascii="Times New Roman" w:hAnsi="Times New Roman" w:eastAsia="仿宋_GB2312" w:cs="仿宋_GB2312"/>
          <w:color w:val="auto"/>
          <w:kern w:val="2"/>
          <w:sz w:val="32"/>
          <w:szCs w:val="32"/>
          <w:highlight w:val="none"/>
          <w:lang w:val="en-US" w:eastAsia="zh-CN" w:bidi="ar-SA"/>
        </w:rPr>
        <w:t>万元，完成预算的100%。</w:t>
      </w:r>
    </w:p>
    <w:p w14:paraId="72581103">
      <w:pPr>
        <w:pStyle w:val="2"/>
        <w:rPr>
          <w:rFonts w:hint="eastAsia"/>
          <w:lang w:val="en-US" w:eastAsia="zh-CN"/>
        </w:rPr>
      </w:pPr>
    </w:p>
    <w:p w14:paraId="567F08EC">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15.节能环保</w:t>
      </w:r>
      <w:r>
        <w:rPr>
          <w:rFonts w:hint="eastAsia" w:ascii="Times New Roman" w:hAnsi="Times New Roman" w:eastAsia="仿宋_GB2312" w:cs="仿宋_GB2312"/>
          <w:color w:val="auto"/>
          <w:kern w:val="2"/>
          <w:sz w:val="32"/>
          <w:szCs w:val="32"/>
          <w:highlight w:val="none"/>
          <w:lang w:val="en-US" w:eastAsia="zh-CN" w:bidi="ar-SA"/>
        </w:rPr>
        <w:t>（类）其他节能环保支出（款）其他节能环保支出（项）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9.62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（注：仅罗列本</w:t>
      </w:r>
      <w:r>
        <w:rPr>
          <w:rFonts w:hint="eastAsia" w:eastAsia="仿宋_GB2312" w:cs="仿宋_GB2312"/>
          <w:b/>
          <w:bCs/>
          <w:color w:val="auto"/>
          <w:kern w:val="2"/>
          <w:sz w:val="32"/>
          <w:szCs w:val="32"/>
          <w:highlight w:val="none"/>
          <w:lang w:val="en-US" w:eastAsia="zh-CN" w:bidi="ar-SA"/>
        </w:rPr>
        <w:t>单位</w:t>
      </w:r>
      <w:r>
        <w:rPr>
          <w:rFonts w:hint="eastAsia" w:ascii="Times New Roman" w:hAnsi="Times New Roman" w:eastAsia="仿宋_GB2312" w:cs="仿宋_GB2312"/>
          <w:b/>
          <w:bCs/>
          <w:color w:val="auto"/>
          <w:kern w:val="2"/>
          <w:sz w:val="32"/>
          <w:szCs w:val="32"/>
          <w:highlight w:val="none"/>
          <w:lang w:val="en-US" w:eastAsia="zh-CN" w:bidi="ar-SA"/>
        </w:rPr>
        <w:t>涉及的全部功能分类科目，至项级。上述“预算”口径为全年预算数。增减变动原因为决算数&lt;项级&gt;和全年预算数&lt;项级&gt;比较，与预算数持平可以不写原因）</w:t>
      </w:r>
    </w:p>
    <w:p w14:paraId="0BD8E9B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029ACC3">
      <w:pPr>
        <w:tabs>
          <w:tab w:val="right" w:pos="8306"/>
        </w:tabs>
        <w:spacing w:line="600" w:lineRule="exact"/>
        <w:ind w:firstLine="640" w:firstLineChars="0"/>
        <w:outlineLvl w:val="0"/>
        <w:rPr>
          <w:rStyle w:val="29"/>
          <w:rFonts w:ascii="Times New Roman" w:hAnsi="Times New Roman"/>
          <w:color w:val="auto"/>
          <w:highlight w:val="none"/>
        </w:rPr>
      </w:pPr>
      <w:bookmarkStart w:id="56" w:name="_Toc15377214"/>
      <w:bookmarkStart w:id="57" w:name="_Toc15396608"/>
      <w:bookmarkStart w:id="58" w:name="_Toc27941"/>
      <w:bookmarkStart w:id="59" w:name="_Toc11175"/>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56"/>
      <w:bookmarkEnd w:id="57"/>
      <w:bookmarkEnd w:id="58"/>
      <w:bookmarkEnd w:id="59"/>
      <w:r>
        <w:rPr>
          <w:rStyle w:val="29"/>
          <w:rFonts w:ascii="Times New Roman" w:hAnsi="Times New Roman" w:eastAsia="黑体"/>
          <w:b w:val="0"/>
          <w:color w:val="auto"/>
          <w:highlight w:val="none"/>
        </w:rPr>
        <w:tab/>
      </w:r>
    </w:p>
    <w:p w14:paraId="5EABEF4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5987.82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64116FFB">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5894.58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元，主要包括：基本工资、津贴补贴、绩效工资、机关事业单位基本养老保险缴费、职业年金缴费、其他社会保障缴费、其他工资福利支出、离休费、其他对个人和家庭的补助支出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93.24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元，主要包括：其他商品和服务支出。</w:t>
      </w:r>
      <w:r>
        <w:rPr>
          <w:rFonts w:hint="eastAsia" w:ascii="Times New Roman" w:hAnsi="Times New Roman" w:eastAsia="仿宋_GB2312" w:cs="仿宋_GB2312"/>
          <w:b/>
          <w:bCs/>
          <w:color w:val="auto"/>
          <w:kern w:val="2"/>
          <w:sz w:val="32"/>
          <w:szCs w:val="32"/>
          <w:highlight w:val="none"/>
          <w:lang w:val="en-US" w:eastAsia="zh-CN" w:bidi="ar-SA"/>
        </w:rPr>
        <w:t>（注：仅罗列本</w:t>
      </w:r>
      <w:r>
        <w:rPr>
          <w:rFonts w:hint="eastAsia" w:eastAsia="仿宋_GB2312" w:cs="仿宋_GB2312"/>
          <w:b/>
          <w:bCs/>
          <w:color w:val="auto"/>
          <w:kern w:val="2"/>
          <w:sz w:val="32"/>
          <w:szCs w:val="32"/>
          <w:highlight w:val="none"/>
          <w:lang w:val="en-US" w:eastAsia="zh-CN" w:bidi="ar-SA"/>
        </w:rPr>
        <w:t>单位</w:t>
      </w:r>
      <w:r>
        <w:rPr>
          <w:rFonts w:hint="eastAsia" w:ascii="Times New Roman" w:hAnsi="Times New Roman" w:eastAsia="仿宋_GB2312" w:cs="仿宋_GB2312"/>
          <w:b/>
          <w:bCs/>
          <w:color w:val="auto"/>
          <w:kern w:val="2"/>
          <w:sz w:val="32"/>
          <w:szCs w:val="32"/>
          <w:highlight w:val="none"/>
          <w:lang w:val="en-US" w:eastAsia="zh-CN" w:bidi="ar-SA"/>
        </w:rPr>
        <w:t>实际支出涉及的经济分类科目）</w:t>
      </w:r>
    </w:p>
    <w:p w14:paraId="2BFEA87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72868A3">
      <w:pPr>
        <w:spacing w:line="600" w:lineRule="exact"/>
        <w:ind w:firstLine="640" w:firstLineChars="0"/>
        <w:outlineLvl w:val="0"/>
        <w:rPr>
          <w:rStyle w:val="29"/>
          <w:rFonts w:ascii="Times New Roman" w:hAnsi="Times New Roman" w:eastAsia="黑体"/>
          <w:b w:val="0"/>
          <w:color w:val="auto"/>
          <w:highlight w:val="none"/>
        </w:rPr>
      </w:pPr>
      <w:bookmarkStart w:id="60" w:name="_Toc15396609"/>
      <w:bookmarkStart w:id="61" w:name="_Toc15377215"/>
      <w:bookmarkStart w:id="62" w:name="_Toc2866"/>
      <w:bookmarkStart w:id="63" w:name="_Toc14522"/>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60"/>
      <w:bookmarkEnd w:id="61"/>
      <w:bookmarkEnd w:id="62"/>
      <w:bookmarkEnd w:id="63"/>
    </w:p>
    <w:p w14:paraId="6B7D2F00">
      <w:pPr>
        <w:spacing w:line="600" w:lineRule="exact"/>
        <w:ind w:firstLine="643" w:firstLineChars="200"/>
        <w:outlineLvl w:val="1"/>
        <w:rPr>
          <w:rFonts w:hint="eastAsia" w:ascii="Times New Roman" w:hAnsi="Times New Roman" w:eastAsia="楷体_GB2312" w:cs="楷体_GB2312"/>
          <w:b/>
          <w:color w:val="auto"/>
          <w:sz w:val="32"/>
          <w:szCs w:val="32"/>
          <w:highlight w:val="none"/>
        </w:rPr>
      </w:pPr>
      <w:bookmarkStart w:id="64" w:name="_Toc15377216"/>
      <w:bookmarkStart w:id="65" w:name="_Toc14075"/>
      <w:bookmarkStart w:id="66" w:name="_Toc22427"/>
      <w:r>
        <w:rPr>
          <w:rFonts w:hint="eastAsia" w:ascii="Times New Roman" w:hAnsi="Times New Roman" w:eastAsia="楷体_GB2312" w:cs="楷体_GB2312"/>
          <w:b/>
          <w:color w:val="auto"/>
          <w:sz w:val="32"/>
          <w:szCs w:val="32"/>
          <w:highlight w:val="none"/>
        </w:rPr>
        <w:t>（一）“三公”经费财政拨款支出决算总体情况说明</w:t>
      </w:r>
      <w:bookmarkEnd w:id="64"/>
      <w:bookmarkEnd w:id="65"/>
      <w:bookmarkEnd w:id="66"/>
    </w:p>
    <w:p w14:paraId="4D776775">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我单位不属于“三公”经费财政拨款支出的预算单位。</w:t>
      </w:r>
      <w:r>
        <w:rPr>
          <w:rFonts w:hint="eastAsia" w:ascii="Times New Roman" w:hAnsi="Times New Roman" w:eastAsia="仿宋_GB2312" w:cs="仿宋_GB2312"/>
          <w:b/>
          <w:bCs/>
          <w:color w:val="auto"/>
          <w:kern w:val="2"/>
          <w:sz w:val="32"/>
          <w:szCs w:val="32"/>
          <w:highlight w:val="none"/>
          <w:lang w:val="en-US" w:eastAsia="zh-CN" w:bidi="ar-SA"/>
        </w:rPr>
        <w:t>（注：上述“预算”口径为全年预算数，包括一般公共预算和政府性基金预算财政拨款支出决算情况）</w:t>
      </w:r>
    </w:p>
    <w:p w14:paraId="085349F3">
      <w:pPr>
        <w:spacing w:line="600" w:lineRule="exact"/>
        <w:ind w:firstLine="643" w:firstLineChars="200"/>
        <w:outlineLvl w:val="1"/>
        <w:rPr>
          <w:rFonts w:hint="eastAsia" w:ascii="Times New Roman" w:hAnsi="Times New Roman" w:eastAsia="楷体_GB2312" w:cs="楷体_GB2312"/>
          <w:b/>
          <w:color w:val="auto"/>
          <w:sz w:val="32"/>
          <w:szCs w:val="32"/>
          <w:highlight w:val="none"/>
        </w:rPr>
      </w:pPr>
      <w:bookmarkStart w:id="67" w:name="_Toc15377217"/>
      <w:bookmarkStart w:id="68" w:name="_Toc1606"/>
      <w:bookmarkStart w:id="69" w:name="_Toc31648"/>
      <w:r>
        <w:rPr>
          <w:rFonts w:hint="eastAsia" w:ascii="Times New Roman" w:hAnsi="Times New Roman" w:eastAsia="楷体_GB2312" w:cs="楷体_GB2312"/>
          <w:b/>
          <w:color w:val="auto"/>
          <w:sz w:val="32"/>
          <w:szCs w:val="32"/>
          <w:highlight w:val="none"/>
        </w:rPr>
        <w:t>（二）“三公”经费财政拨款支出决算具体情况说明</w:t>
      </w:r>
      <w:bookmarkEnd w:id="67"/>
      <w:bookmarkEnd w:id="68"/>
      <w:bookmarkEnd w:id="69"/>
    </w:p>
    <w:p w14:paraId="6CEBC03E">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4E4E79FC">
      <w:pPr>
        <w:pStyle w:val="2"/>
        <w:rPr>
          <w:rFonts w:hint="eastAsia" w:ascii="仿宋_GB2312" w:hAnsi="仿宋_GB2312" w:eastAsia="仿宋_GB2312" w:cs="仿宋_GB2312"/>
          <w:color w:val="auto"/>
          <w:kern w:val="2"/>
          <w:sz w:val="32"/>
          <w:szCs w:val="32"/>
          <w:highlight w:val="none"/>
          <w:lang w:val="en-US" w:eastAsia="zh-CN" w:bidi="ar-SA"/>
        </w:rPr>
      </w:pPr>
    </w:p>
    <w:p w14:paraId="3E5213AE">
      <w:pPr>
        <w:pStyle w:val="3"/>
        <w:rPr>
          <w:rFonts w:hint="eastAsia"/>
          <w:lang w:val="en-US" w:eastAsia="zh-CN"/>
        </w:rPr>
      </w:pPr>
      <w:r>
        <w:rPr>
          <w:rFonts w:hint="eastAsia" w:eastAsia="仿宋"/>
          <w:lang w:eastAsia="zh-CN"/>
        </w:rPr>
        <w:drawing>
          <wp:inline distT="0" distB="0" distL="114300" distR="114300">
            <wp:extent cx="4333875" cy="2499360"/>
            <wp:effectExtent l="0" t="0" r="9525" b="15240"/>
            <wp:docPr id="11" name="图片 11"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8"/>
                    <pic:cNvPicPr>
                      <a:picLocks noChangeAspect="1"/>
                    </pic:cNvPicPr>
                  </pic:nvPicPr>
                  <pic:blipFill>
                    <a:blip r:embed="rId19"/>
                    <a:stretch>
                      <a:fillRect/>
                    </a:stretch>
                  </pic:blipFill>
                  <pic:spPr>
                    <a:xfrm>
                      <a:off x="0" y="0"/>
                      <a:ext cx="4333875" cy="2499360"/>
                    </a:xfrm>
                    <a:prstGeom prst="rect">
                      <a:avLst/>
                    </a:prstGeom>
                  </pic:spPr>
                </pic:pic>
              </a:graphicData>
            </a:graphic>
          </wp:inline>
        </w:drawing>
      </w:r>
    </w:p>
    <w:p w14:paraId="177D048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3DD2129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一致。</w:t>
      </w:r>
    </w:p>
    <w:p w14:paraId="060C8FB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一致</w:t>
      </w:r>
      <w:r>
        <w:rPr>
          <w:rFonts w:hint="eastAsia" w:ascii="Times New Roman" w:hAnsi="Times New Roman" w:eastAsia="仿宋_GB2312" w:cs="仿宋_GB2312"/>
          <w:color w:val="auto"/>
          <w:kern w:val="2"/>
          <w:sz w:val="32"/>
          <w:szCs w:val="32"/>
          <w:highlight w:val="none"/>
          <w:lang w:val="en-US" w:eastAsia="zh-CN" w:bidi="ar-SA"/>
        </w:rPr>
        <w:t>。</w:t>
      </w:r>
    </w:p>
    <w:p w14:paraId="1F0C666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51.90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28</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、救护车18辆</w:t>
      </w:r>
      <w:r>
        <w:rPr>
          <w:rFonts w:hint="eastAsia" w:ascii="Times New Roman" w:hAnsi="Times New Roman" w:eastAsia="仿宋_GB2312" w:cs="仿宋_GB2312"/>
          <w:color w:val="auto"/>
          <w:kern w:val="2"/>
          <w:sz w:val="32"/>
          <w:szCs w:val="32"/>
          <w:highlight w:val="none"/>
          <w:lang w:val="en-US" w:eastAsia="zh-CN" w:bidi="ar-SA"/>
        </w:rPr>
        <w:t>。</w:t>
      </w:r>
    </w:p>
    <w:p w14:paraId="1AF61A8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321DD6E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一致</w:t>
      </w:r>
      <w:r>
        <w:rPr>
          <w:rFonts w:hint="eastAsia" w:ascii="Times New Roman" w:hAnsi="Times New Roman" w:eastAsia="仿宋_GB2312" w:cs="仿宋_GB2312"/>
          <w:color w:val="auto"/>
          <w:kern w:val="2"/>
          <w:sz w:val="32"/>
          <w:szCs w:val="32"/>
          <w:highlight w:val="none"/>
          <w:lang w:val="en-US" w:eastAsia="zh-CN" w:bidi="ar-SA"/>
        </w:rPr>
        <w:t>。其中：</w:t>
      </w:r>
    </w:p>
    <w:p w14:paraId="1CE5511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68A0D40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3334711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70" w:name="_Toc15377218"/>
      <w:bookmarkStart w:id="71" w:name="_Toc15396610"/>
    </w:p>
    <w:p w14:paraId="003D9591">
      <w:pPr>
        <w:spacing w:line="600" w:lineRule="exact"/>
        <w:ind w:firstLine="640" w:firstLineChars="0"/>
        <w:outlineLvl w:val="0"/>
        <w:rPr>
          <w:rStyle w:val="29"/>
          <w:rFonts w:ascii="Times New Roman" w:hAnsi="Times New Roman" w:eastAsia="黑体"/>
          <w:color w:val="auto"/>
          <w:highlight w:val="none"/>
        </w:rPr>
      </w:pPr>
      <w:bookmarkStart w:id="72" w:name="_Toc13094"/>
      <w:bookmarkStart w:id="73" w:name="_Toc21705"/>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70"/>
      <w:bookmarkEnd w:id="71"/>
      <w:bookmarkEnd w:id="72"/>
      <w:bookmarkEnd w:id="73"/>
    </w:p>
    <w:p w14:paraId="09E39D8E">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9300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6.3</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9300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我院2024年度新增新院区第一期建设项目专项债券。</w:t>
      </w:r>
      <w:r>
        <w:rPr>
          <w:rFonts w:hint="eastAsia" w:ascii="Times New Roman" w:hAnsi="Times New Roman" w:eastAsia="仿宋_GB2312" w:cs="仿宋_GB2312"/>
          <w:b/>
          <w:bCs/>
          <w:color w:val="auto"/>
          <w:kern w:val="2"/>
          <w:sz w:val="32"/>
          <w:szCs w:val="32"/>
          <w:highlight w:val="none"/>
          <w:lang w:val="en-US" w:eastAsia="zh-CN" w:bidi="ar-SA"/>
        </w:rPr>
        <w:t>（注：支出数与上年持平可以不写原因）</w:t>
      </w:r>
    </w:p>
    <w:p w14:paraId="738290B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483D356">
      <w:pPr>
        <w:numPr>
          <w:ilvl w:val="0"/>
          <w:numId w:val="0"/>
        </w:numPr>
        <w:spacing w:line="600" w:lineRule="exact"/>
        <w:ind w:left="630" w:leftChars="0" w:firstLine="0" w:firstLineChars="0"/>
        <w:outlineLvl w:val="0"/>
        <w:rPr>
          <w:rStyle w:val="29"/>
          <w:rFonts w:ascii="Times New Roman" w:hAnsi="Times New Roman" w:eastAsia="黑体"/>
          <w:b w:val="0"/>
          <w:color w:val="auto"/>
          <w:highlight w:val="none"/>
        </w:rPr>
      </w:pPr>
      <w:bookmarkStart w:id="74" w:name="_Toc15396611"/>
      <w:bookmarkStart w:id="75" w:name="_Toc15377219"/>
      <w:bookmarkStart w:id="76" w:name="_Toc25649"/>
      <w:bookmarkStart w:id="77" w:name="_Toc25621"/>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74"/>
      <w:bookmarkEnd w:id="75"/>
      <w:bookmarkEnd w:id="76"/>
      <w:bookmarkEnd w:id="77"/>
    </w:p>
    <w:p w14:paraId="1420EA9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w:t>
      </w:r>
      <w:r>
        <w:rPr>
          <w:rFonts w:hint="eastAsia" w:eastAsia="仿宋_GB2312" w:cs="仿宋_GB2312"/>
          <w:color w:val="auto"/>
          <w:kern w:val="2"/>
          <w:sz w:val="32"/>
          <w:szCs w:val="32"/>
          <w:highlight w:val="none"/>
          <w:lang w:val="en-US" w:eastAsia="zh-CN" w:bidi="ar-SA"/>
        </w:rPr>
        <w:t>不变</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（注：支出数与上年持平可以不写原因）</w:t>
      </w:r>
    </w:p>
    <w:p w14:paraId="68D4FF1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71C947B">
      <w:pPr>
        <w:numPr>
          <w:ilvl w:val="0"/>
          <w:numId w:val="0"/>
        </w:numPr>
        <w:spacing w:line="600" w:lineRule="exact"/>
        <w:ind w:left="630" w:leftChars="0" w:firstLine="0" w:firstLineChars="0"/>
        <w:outlineLvl w:val="0"/>
        <w:rPr>
          <w:rStyle w:val="29"/>
          <w:rFonts w:hint="eastAsia" w:ascii="Times New Roman" w:hAnsi="Times New Roman" w:eastAsia="黑体"/>
          <w:b w:val="0"/>
          <w:color w:val="auto"/>
          <w:highlight w:val="none"/>
        </w:rPr>
      </w:pPr>
      <w:bookmarkStart w:id="78" w:name="_Toc26247"/>
      <w:bookmarkStart w:id="79" w:name="_Toc21052"/>
      <w:bookmarkStart w:id="80" w:name="_Toc15377221"/>
      <w:bookmarkStart w:id="81" w:name="_Toc15396612"/>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78"/>
      <w:bookmarkEnd w:id="79"/>
      <w:bookmarkEnd w:id="80"/>
      <w:bookmarkEnd w:id="81"/>
    </w:p>
    <w:p w14:paraId="4A198F63">
      <w:pPr>
        <w:spacing w:line="600" w:lineRule="exact"/>
        <w:ind w:firstLine="643" w:firstLineChars="200"/>
        <w:outlineLvl w:val="1"/>
        <w:rPr>
          <w:rFonts w:hint="eastAsia" w:ascii="Times New Roman" w:hAnsi="Times New Roman" w:eastAsia="楷体_GB2312" w:cs="楷体_GB2312"/>
          <w:b/>
          <w:color w:val="auto"/>
          <w:sz w:val="32"/>
          <w:szCs w:val="32"/>
          <w:highlight w:val="none"/>
        </w:rPr>
      </w:pPr>
      <w:bookmarkStart w:id="82" w:name="_Toc15377222"/>
      <w:bookmarkStart w:id="83" w:name="_Toc19466"/>
      <w:bookmarkStart w:id="84" w:name="_Toc3101"/>
      <w:r>
        <w:rPr>
          <w:rFonts w:hint="eastAsia" w:ascii="Times New Roman" w:hAnsi="Times New Roman" w:eastAsia="楷体_GB2312" w:cs="楷体_GB2312"/>
          <w:b/>
          <w:color w:val="auto"/>
          <w:sz w:val="32"/>
          <w:szCs w:val="32"/>
          <w:highlight w:val="none"/>
        </w:rPr>
        <w:t>（一）机关运行经费支出情况</w:t>
      </w:r>
      <w:bookmarkEnd w:id="82"/>
      <w:bookmarkEnd w:id="83"/>
      <w:bookmarkEnd w:id="84"/>
    </w:p>
    <w:p w14:paraId="234D995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凉山彝族自治州第一人民医院</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一致。</w:t>
      </w:r>
    </w:p>
    <w:p w14:paraId="09B2E5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D613281">
      <w:pPr>
        <w:spacing w:line="600" w:lineRule="exact"/>
        <w:ind w:firstLine="643" w:firstLineChars="200"/>
        <w:outlineLvl w:val="1"/>
        <w:rPr>
          <w:rFonts w:hint="eastAsia" w:ascii="Times New Roman" w:hAnsi="Times New Roman" w:eastAsia="楷体_GB2312" w:cs="楷体_GB2312"/>
          <w:b/>
          <w:color w:val="auto"/>
          <w:sz w:val="32"/>
          <w:szCs w:val="32"/>
          <w:highlight w:val="none"/>
        </w:rPr>
      </w:pPr>
      <w:bookmarkStart w:id="85" w:name="_Toc15377223"/>
      <w:bookmarkStart w:id="86" w:name="_Toc31876"/>
      <w:bookmarkStart w:id="87" w:name="_Toc6855"/>
      <w:r>
        <w:rPr>
          <w:rFonts w:hint="eastAsia" w:ascii="Times New Roman" w:hAnsi="Times New Roman" w:eastAsia="楷体_GB2312" w:cs="楷体_GB2312"/>
          <w:b/>
          <w:color w:val="auto"/>
          <w:sz w:val="32"/>
          <w:szCs w:val="32"/>
          <w:highlight w:val="none"/>
        </w:rPr>
        <w:t>（二）政府采购支出情况</w:t>
      </w:r>
      <w:bookmarkEnd w:id="85"/>
      <w:bookmarkEnd w:id="86"/>
      <w:bookmarkEnd w:id="87"/>
    </w:p>
    <w:p w14:paraId="54F89F80">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凉山彝族自治州第一人民医院</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540.97</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334.47</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206.5</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5081CF6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B7EEBEE">
      <w:pPr>
        <w:spacing w:line="600" w:lineRule="exact"/>
        <w:ind w:firstLine="643" w:firstLineChars="200"/>
        <w:outlineLvl w:val="1"/>
        <w:rPr>
          <w:rFonts w:hint="eastAsia" w:ascii="Times New Roman" w:hAnsi="Times New Roman" w:eastAsia="楷体_GB2312" w:cs="楷体_GB2312"/>
          <w:b/>
          <w:color w:val="auto"/>
          <w:sz w:val="32"/>
          <w:szCs w:val="32"/>
          <w:highlight w:val="none"/>
        </w:rPr>
      </w:pPr>
      <w:bookmarkStart w:id="88" w:name="_Toc7669"/>
      <w:bookmarkStart w:id="89" w:name="_Toc15377224"/>
      <w:bookmarkStart w:id="90" w:name="_Toc5209"/>
      <w:r>
        <w:rPr>
          <w:rFonts w:hint="eastAsia" w:ascii="Times New Roman" w:hAnsi="Times New Roman" w:eastAsia="楷体_GB2312" w:cs="楷体_GB2312"/>
          <w:b/>
          <w:color w:val="auto"/>
          <w:sz w:val="32"/>
          <w:szCs w:val="32"/>
          <w:highlight w:val="none"/>
        </w:rPr>
        <w:t>（三）国有资产占有使用情况</w:t>
      </w:r>
      <w:bookmarkEnd w:id="88"/>
      <w:bookmarkEnd w:id="89"/>
      <w:bookmarkEnd w:id="90"/>
    </w:p>
    <w:p w14:paraId="4368ED8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凉山彝族自治州第一人民医院</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28</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辆、特种专业技术用车18辆、其他用车</w:t>
      </w:r>
      <w:r>
        <w:rPr>
          <w:rFonts w:hint="eastAsia" w:ascii="仿宋_GB2312" w:hAnsi="仿宋_GB2312" w:eastAsia="仿宋_GB2312" w:cs="仿宋_GB2312"/>
          <w:sz w:val="32"/>
          <w:szCs w:val="32"/>
        </w:rPr>
        <w:t>10</w:t>
      </w:r>
      <w:r>
        <w:rPr>
          <w:rFonts w:hint="eastAsia" w:ascii="仿宋_GB2312" w:hAnsi="仿宋_GB2312" w:eastAsia="仿宋_GB2312" w:cs="仿宋_GB2312"/>
          <w:color w:val="auto"/>
          <w:kern w:val="2"/>
          <w:sz w:val="32"/>
          <w:szCs w:val="32"/>
          <w:highlight w:val="none"/>
          <w:lang w:val="en-US" w:eastAsia="zh-CN" w:bidi="ar-SA"/>
        </w:rPr>
        <w:t>辆，其他用车主要是用于保障医院救护及其他工作。单价100万元（含）以上设备（不含车辆）</w:t>
      </w:r>
      <w:r>
        <w:rPr>
          <w:rFonts w:hint="eastAsia" w:ascii="仿宋_GB2312" w:hAnsi="仿宋_GB2312" w:eastAsia="仿宋_GB2312" w:cs="仿宋_GB2312"/>
          <w:sz w:val="32"/>
          <w:szCs w:val="32"/>
        </w:rPr>
        <w:t>114</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033A153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F03D989">
      <w:pPr>
        <w:spacing w:line="600" w:lineRule="exact"/>
        <w:ind w:firstLine="643" w:firstLineChars="200"/>
        <w:outlineLvl w:val="1"/>
        <w:rPr>
          <w:rFonts w:hint="eastAsia" w:ascii="Times New Roman" w:hAnsi="Times New Roman" w:eastAsia="楷体_GB2312" w:cs="楷体_GB2312"/>
          <w:b/>
          <w:color w:val="auto"/>
          <w:sz w:val="32"/>
          <w:szCs w:val="32"/>
          <w:highlight w:val="none"/>
        </w:rPr>
      </w:pPr>
      <w:bookmarkStart w:id="91" w:name="_Toc2111"/>
      <w:bookmarkStart w:id="92" w:name="_Toc16029"/>
      <w:r>
        <w:rPr>
          <w:rFonts w:hint="eastAsia" w:ascii="Times New Roman" w:hAnsi="Times New Roman" w:eastAsia="楷体_GB2312" w:cs="楷体_GB2312"/>
          <w:b/>
          <w:color w:val="auto"/>
          <w:sz w:val="32"/>
          <w:szCs w:val="32"/>
          <w:highlight w:val="none"/>
        </w:rPr>
        <w:t>（四）预算绩效管理情况</w:t>
      </w:r>
      <w:bookmarkEnd w:id="91"/>
      <w:bookmarkEnd w:id="92"/>
    </w:p>
    <w:p w14:paraId="456BA488">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凉山彝族自治州第一人民医院</w:t>
      </w:r>
      <w:r>
        <w:rPr>
          <w:rFonts w:hint="eastAsia" w:ascii="Times New Roman" w:hAnsi="Times New Roman" w:eastAsia="仿宋_GB2312" w:cs="仿宋_GB2312"/>
          <w:color w:val="auto"/>
          <w:kern w:val="2"/>
          <w:sz w:val="32"/>
          <w:szCs w:val="32"/>
          <w:highlight w:val="none"/>
          <w:lang w:val="en-US" w:eastAsia="zh-CN" w:bidi="ar-SA"/>
        </w:rPr>
        <w:t>在2024年度预算编制阶段，组织对人员经费预算项目（自有资金）</w:t>
      </w:r>
      <w:r>
        <w:rPr>
          <w:rFonts w:hint="eastAsia" w:eastAsia="仿宋_GB2312" w:cs="仿宋_GB2312"/>
          <w:color w:val="auto"/>
          <w:kern w:val="2"/>
          <w:sz w:val="32"/>
          <w:szCs w:val="32"/>
          <w:highlight w:val="none"/>
          <w:lang w:val="en-US" w:eastAsia="zh-CN" w:bidi="ar-SA"/>
        </w:rPr>
        <w:t>、医疗成本费用预算项目（自有资金）、招标采购预算项目（自有资金）、专项债还本付息项目、维修维护费预算项目-FS</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43</w:t>
      </w:r>
      <w:r>
        <w:rPr>
          <w:rFonts w:hint="eastAsia" w:ascii="Times New Roman" w:hAnsi="Times New Roman" w:eastAsia="仿宋_GB2312" w:cs="仿宋_GB2312"/>
          <w:color w:val="auto"/>
          <w:kern w:val="2"/>
          <w:sz w:val="32"/>
          <w:szCs w:val="32"/>
          <w:highlight w:val="none"/>
          <w:lang w:val="en-US" w:eastAsia="zh-CN" w:bidi="ar-SA"/>
        </w:rPr>
        <w:t>个项目开展绩效监控</w:t>
      </w:r>
      <w:r>
        <w:rPr>
          <w:rFonts w:hint="eastAsia" w:eastAsia="仿宋_GB2312" w:cs="仿宋_GB2312"/>
          <w:color w:val="auto"/>
          <w:kern w:val="2"/>
          <w:sz w:val="32"/>
          <w:szCs w:val="32"/>
          <w:highlight w:val="none"/>
          <w:lang w:val="en-US" w:eastAsia="zh-CN" w:bidi="ar-SA"/>
        </w:rPr>
        <w:t>，年末对43个项目开展了绩效自评</w:t>
      </w:r>
      <w:r>
        <w:rPr>
          <w:rFonts w:hint="eastAsia" w:ascii="仿宋_GB2312" w:eastAsia="仿宋_GB2312"/>
          <w:sz w:val="32"/>
          <w:szCs w:val="32"/>
        </w:rPr>
        <w:t>。</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b/>
          <w:bCs/>
          <w:color w:val="auto"/>
          <w:kern w:val="2"/>
          <w:sz w:val="32"/>
          <w:szCs w:val="32"/>
          <w:highlight w:val="none"/>
          <w:lang w:val="en-US" w:eastAsia="zh-CN" w:bidi="ar-SA"/>
        </w:rPr>
        <w:t>注：</w:t>
      </w:r>
      <w:r>
        <w:rPr>
          <w:rFonts w:hint="eastAsia" w:ascii="Times New Roman" w:hAnsi="Times New Roman" w:eastAsia="仿宋_GB2312" w:cs="仿宋_GB2312"/>
          <w:b/>
          <w:bCs/>
          <w:color w:val="auto"/>
          <w:kern w:val="2"/>
          <w:sz w:val="32"/>
          <w:szCs w:val="32"/>
          <w:highlight w:val="none"/>
          <w:lang w:val="en-US" w:eastAsia="zh-CN" w:bidi="ar-SA"/>
        </w:rPr>
        <w:t>如不涉及，可根据实际修改表述。）</w:t>
      </w:r>
    </w:p>
    <w:p w14:paraId="19C9BEF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9A1940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F91806F">
      <w:pPr>
        <w:pStyle w:val="2"/>
        <w:rPr>
          <w:rFonts w:hint="eastAsia" w:ascii="Times New Roman" w:hAnsi="Times New Roman" w:eastAsia="仿宋_GB2312" w:cs="仿宋_GB2312"/>
          <w:color w:val="auto"/>
          <w:kern w:val="2"/>
          <w:sz w:val="32"/>
          <w:szCs w:val="32"/>
          <w:highlight w:val="none"/>
          <w:lang w:val="en-US" w:eastAsia="zh-CN" w:bidi="ar-SA"/>
        </w:rPr>
      </w:pPr>
    </w:p>
    <w:p w14:paraId="3A6CCB10">
      <w:pPr>
        <w:pStyle w:val="3"/>
        <w:rPr>
          <w:rFonts w:hint="eastAsia" w:ascii="Times New Roman" w:hAnsi="Times New Roman" w:eastAsia="仿宋_GB2312" w:cs="仿宋_GB2312"/>
          <w:color w:val="auto"/>
          <w:kern w:val="2"/>
          <w:sz w:val="32"/>
          <w:szCs w:val="32"/>
          <w:highlight w:val="none"/>
          <w:lang w:val="en-US" w:eastAsia="zh-CN" w:bidi="ar-SA"/>
        </w:rPr>
      </w:pPr>
    </w:p>
    <w:p w14:paraId="0C08C4DB">
      <w:pPr>
        <w:pStyle w:val="3"/>
        <w:rPr>
          <w:rFonts w:hint="eastAsia" w:ascii="Times New Roman" w:hAnsi="Times New Roman" w:eastAsia="仿宋_GB2312" w:cs="仿宋_GB2312"/>
          <w:color w:val="auto"/>
          <w:kern w:val="2"/>
          <w:sz w:val="32"/>
          <w:szCs w:val="32"/>
          <w:highlight w:val="none"/>
          <w:lang w:val="en-US" w:eastAsia="zh-CN" w:bidi="ar-SA"/>
        </w:rPr>
      </w:pPr>
    </w:p>
    <w:p w14:paraId="03112287">
      <w:pPr>
        <w:pStyle w:val="3"/>
        <w:rPr>
          <w:rFonts w:hint="eastAsia" w:ascii="Times New Roman" w:hAnsi="Times New Roman" w:eastAsia="仿宋_GB2312" w:cs="仿宋_GB2312"/>
          <w:color w:val="auto"/>
          <w:kern w:val="2"/>
          <w:sz w:val="32"/>
          <w:szCs w:val="32"/>
          <w:highlight w:val="none"/>
          <w:lang w:val="en-US" w:eastAsia="zh-CN" w:bidi="ar-SA"/>
        </w:rPr>
      </w:pPr>
    </w:p>
    <w:p w14:paraId="41919BB8">
      <w:pPr>
        <w:pStyle w:val="3"/>
        <w:rPr>
          <w:rFonts w:hint="eastAsia" w:ascii="Times New Roman" w:hAnsi="Times New Roman" w:eastAsia="仿宋_GB2312" w:cs="仿宋_GB2312"/>
          <w:color w:val="auto"/>
          <w:kern w:val="2"/>
          <w:sz w:val="32"/>
          <w:szCs w:val="32"/>
          <w:highlight w:val="none"/>
          <w:lang w:val="en-US" w:eastAsia="zh-CN" w:bidi="ar-SA"/>
        </w:rPr>
      </w:pPr>
    </w:p>
    <w:p w14:paraId="26955E68">
      <w:pPr>
        <w:pStyle w:val="3"/>
        <w:rPr>
          <w:rFonts w:hint="eastAsia" w:ascii="Times New Roman" w:hAnsi="Times New Roman" w:eastAsia="仿宋_GB2312" w:cs="仿宋_GB2312"/>
          <w:color w:val="auto"/>
          <w:kern w:val="2"/>
          <w:sz w:val="32"/>
          <w:szCs w:val="32"/>
          <w:highlight w:val="none"/>
          <w:lang w:val="en-US" w:eastAsia="zh-CN" w:bidi="ar-SA"/>
        </w:rPr>
      </w:pPr>
    </w:p>
    <w:p w14:paraId="2F82866E">
      <w:pPr>
        <w:pStyle w:val="3"/>
        <w:rPr>
          <w:rFonts w:hint="eastAsia" w:ascii="Times New Roman" w:hAnsi="Times New Roman" w:eastAsia="仿宋_GB2312" w:cs="仿宋_GB2312"/>
          <w:color w:val="auto"/>
          <w:kern w:val="2"/>
          <w:sz w:val="32"/>
          <w:szCs w:val="32"/>
          <w:highlight w:val="none"/>
          <w:lang w:val="en-US" w:eastAsia="zh-CN" w:bidi="ar-SA"/>
        </w:rPr>
      </w:pPr>
    </w:p>
    <w:p w14:paraId="408844E2">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93" w:name="_Toc15377225"/>
      <w:bookmarkStart w:id="94" w:name="_Toc15396613"/>
      <w:bookmarkStart w:id="95" w:name="_Toc5328"/>
      <w:bookmarkStart w:id="96" w:name="_Toc30462"/>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93"/>
      <w:bookmarkEnd w:id="94"/>
      <w:bookmarkEnd w:id="95"/>
      <w:bookmarkEnd w:id="96"/>
    </w:p>
    <w:p w14:paraId="39FA1EB2">
      <w:pPr>
        <w:spacing w:line="600" w:lineRule="exact"/>
        <w:jc w:val="left"/>
        <w:rPr>
          <w:rFonts w:ascii="Times New Roman" w:hAnsi="Times New Roman"/>
          <w:b/>
          <w:color w:val="auto"/>
          <w:sz w:val="44"/>
          <w:szCs w:val="44"/>
          <w:highlight w:val="none"/>
        </w:rPr>
      </w:pPr>
    </w:p>
    <w:p w14:paraId="3E00C74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34640E1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2.事业收入：指事业单位开展专业业务活动及辅助活动取得的收入。如医疗诊断、检查、检验、手术、护理等。</w:t>
      </w:r>
    </w:p>
    <w:p w14:paraId="19CE9F7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059EAED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 </w:t>
      </w:r>
    </w:p>
    <w:p w14:paraId="5F0C524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5.使用非财政拨款结余：指事业单位使用以前年度积累的非财政拨款结余弥补当年收支差额的金额。 </w:t>
      </w:r>
    </w:p>
    <w:p w14:paraId="2D5AD0C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0EBB5B5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04DA0F4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2CB2884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9.科学技术支出（类）技术研究与开发（款）其他技术研究与开发支出（项）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指从事技术开发研究和近期可望取得实用价值的其他技术开发研究的支出。</w:t>
      </w:r>
    </w:p>
    <w:p w14:paraId="541F77E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10.社会保障和就业（类）人力资源和社会保障管理事务（款）其他人力资源和社会保障管理事务支出（项）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指。</w:t>
      </w:r>
    </w:p>
    <w:p w14:paraId="2AB8766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11.社会保障和就业（类）行政事业单位养老支出（款）事业单位离退休（项）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指反映行政事业单位开支的离退休支出。</w:t>
      </w:r>
    </w:p>
    <w:p w14:paraId="508B01D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指反映机关事业单位实施养老保险制度由单位缴纳的基本养老保险费支出。</w:t>
      </w:r>
    </w:p>
    <w:p w14:paraId="3AE148F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指反映机关事业单位实施养老保险制度由单位缴纳的职业年金支出。</w:t>
      </w:r>
    </w:p>
    <w:p w14:paraId="61F7905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指其他用于社会保障和就业方面的支出。</w:t>
      </w:r>
    </w:p>
    <w:p w14:paraId="50EB4F5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15.卫生健康支出（类）公立医院（款）综合医院（项）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指反映卫生健康、中医部门所属的城市综合性医院、独立门诊、教学医院、疗养院和县医院的支出。</w:t>
      </w:r>
    </w:p>
    <w:p w14:paraId="377762B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16.卫生健康支出（类）公立医院（款）其他公立医院支出（项）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指反映其他用于公立医院方面的支出。</w:t>
      </w:r>
    </w:p>
    <w:p w14:paraId="5580146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17.卫生健康支出（类）公共卫生（款）重大公共卫生服务（项）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指反映重大疾病、重大传染病预防控制等重大公共卫生服务项目支出。</w:t>
      </w:r>
    </w:p>
    <w:p w14:paraId="77CBD4C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18.卫生健康支出（类）公共卫生（款）突发公共卫生事件应急处理（项）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指反映用于突发公共卫生事件应急处理的支出。</w:t>
      </w:r>
    </w:p>
    <w:p w14:paraId="13BD242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19.卫生健康支出（类）公共卫生（款）其他公共卫生支出（项）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指反映其他用于公共卫生方面的支出。</w:t>
      </w:r>
    </w:p>
    <w:p w14:paraId="4F26A88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20.卫生健康支出（类）中医药（款）中医（民族医）药专项（项）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指反映中医（民族医）药方面的专项支出。</w:t>
      </w:r>
    </w:p>
    <w:p w14:paraId="3FB647A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21.卫生健康支出（类）行政事业单位医疗（款）其他行政事业单位医疗支出（项）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指反映单位为职工缴纳的其他医疗保险费。</w:t>
      </w:r>
    </w:p>
    <w:p w14:paraId="67E3A9D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22.卫生健康支出（类）其他卫生健康支出（款）其他卫生健康支出（项）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指反映卫生健康委所属医院开展其他医疗活动方面的支出。</w:t>
      </w:r>
    </w:p>
    <w:p w14:paraId="63535A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b/>
          <w:bCs/>
          <w:color w:val="auto"/>
          <w:kern w:val="2"/>
          <w:sz w:val="32"/>
          <w:szCs w:val="32"/>
          <w:highlight w:val="none"/>
          <w:lang w:val="en-US" w:eastAsia="zh-CN" w:bidi="ar-SA"/>
        </w:rPr>
        <w:t>注：</w:t>
      </w:r>
      <w:r>
        <w:rPr>
          <w:rFonts w:hint="eastAsia" w:ascii="Times New Roman" w:hAnsi="Times New Roman" w:eastAsia="仿宋_GB2312" w:cs="仿宋_GB2312"/>
          <w:b/>
          <w:bCs/>
          <w:color w:val="auto"/>
          <w:kern w:val="2"/>
          <w:sz w:val="32"/>
          <w:szCs w:val="32"/>
          <w:highlight w:val="none"/>
          <w:lang w:val="en-US" w:eastAsia="zh-CN" w:bidi="ar-SA"/>
        </w:rPr>
        <w:t>解释本部门决算报表中涉及的全部功能分类科目至项级，不涉及的科目请自行删除。请参照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202</w:t>
      </w:r>
      <w:r>
        <w:rPr>
          <w:rFonts w:hint="eastAsia" w:eastAsia="仿宋_GB2312" w:cs="仿宋_GB2312"/>
          <w:b/>
          <w:bCs/>
          <w:color w:val="auto"/>
          <w:kern w:val="2"/>
          <w:sz w:val="32"/>
          <w:szCs w:val="32"/>
          <w:highlight w:val="none"/>
          <w:lang w:val="en-US" w:eastAsia="zh-CN" w:bidi="ar-SA"/>
        </w:rPr>
        <w:t>4</w:t>
      </w:r>
      <w:r>
        <w:rPr>
          <w:rFonts w:hint="eastAsia" w:ascii="Times New Roman" w:hAnsi="Times New Roman" w:eastAsia="仿宋_GB2312" w:cs="仿宋_GB2312"/>
          <w:b/>
          <w:bCs/>
          <w:color w:val="auto"/>
          <w:kern w:val="2"/>
          <w:sz w:val="32"/>
          <w:szCs w:val="32"/>
          <w:highlight w:val="none"/>
          <w:lang w:val="en-US" w:eastAsia="zh-CN" w:bidi="ar-SA"/>
        </w:rPr>
        <w:t>年政府收支分类科目</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增减内容）</w:t>
      </w:r>
      <w:bookmarkStart w:id="113" w:name="_GoBack"/>
      <w:bookmarkEnd w:id="113"/>
    </w:p>
    <w:p w14:paraId="1D57CC2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1796EE0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0913C1F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14:paraId="4DDB089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26</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72CC3E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27</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C495EA2">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（注：名词解释部分请根据各部门实际列支情况罗列，并根据本部门职责职能增减名词解释内容）</w:t>
      </w:r>
    </w:p>
    <w:p w14:paraId="261CA23E">
      <w:pPr>
        <w:spacing w:line="600" w:lineRule="exact"/>
        <w:jc w:val="center"/>
        <w:outlineLvl w:val="0"/>
        <w:rPr>
          <w:rStyle w:val="28"/>
          <w:rFonts w:hint="eastAsia" w:ascii="Times New Roman" w:hAnsi="Times New Roman" w:eastAsia="黑体"/>
          <w:b w:val="0"/>
          <w:color w:val="auto"/>
          <w:highlight w:val="none"/>
          <w:lang w:eastAsia="zh-CN"/>
        </w:rPr>
      </w:pPr>
      <w:bookmarkStart w:id="97"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98" w:name="_Toc15396614"/>
      <w:bookmarkStart w:id="99" w:name="_Toc9984"/>
      <w:bookmarkStart w:id="100" w:name="_Toc29689"/>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98"/>
      <w:bookmarkEnd w:id="99"/>
      <w:bookmarkEnd w:id="100"/>
    </w:p>
    <w:p w14:paraId="2E7AC99F">
      <w:pPr>
        <w:keepNext w:val="0"/>
        <w:keepLines w:val="0"/>
        <w:pageBreakBefore w:val="0"/>
        <w:kinsoku/>
        <w:wordWrap/>
        <w:overflowPunct/>
        <w:topLinePunct w:val="0"/>
        <w:autoSpaceDE/>
        <w:autoSpaceDN/>
        <w:bidi w:val="0"/>
        <w:spacing w:line="572" w:lineRule="exact"/>
        <w:jc w:val="left"/>
        <w:textAlignment w:val="auto"/>
        <w:outlineLvl w:val="9"/>
        <w:rPr>
          <w:rFonts w:hint="eastAsia" w:ascii="Times New Roman" w:hAnsi="Times New Roman" w:eastAsia="黑体" w:cs="黑体"/>
          <w:color w:val="FF0000"/>
          <w:sz w:val="32"/>
          <w:szCs w:val="32"/>
          <w:highlight w:val="none"/>
        </w:rPr>
      </w:pPr>
    </w:p>
    <w:p w14:paraId="5DE217D1">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部门预算项目支出绩效自评表（202</w:t>
      </w:r>
      <w:r>
        <w:rPr>
          <w:rFonts w:hint="eastAsia" w:eastAsia="方正小标宋简体" w:cs="Times New Roman"/>
          <w:b w:val="0"/>
          <w:bCs/>
          <w:sz w:val="44"/>
          <w:szCs w:val="44"/>
          <w:highlight w:val="none"/>
          <w:shd w:val="clear" w:color="auto" w:fill="FFFFFF"/>
          <w:lang w:val="en-US" w:eastAsia="zh-CN"/>
        </w:rPr>
        <w:t>4</w:t>
      </w:r>
      <w:r>
        <w:rPr>
          <w:rFonts w:hint="default" w:ascii="Times New Roman" w:hAnsi="Times New Roman" w:eastAsia="方正小标宋简体" w:cs="Times New Roman"/>
          <w:b w:val="0"/>
          <w:bCs/>
          <w:sz w:val="44"/>
          <w:szCs w:val="44"/>
          <w:highlight w:val="none"/>
          <w:shd w:val="clear" w:color="auto" w:fill="FFFFFF"/>
        </w:rPr>
        <w:t>年度）</w:t>
      </w:r>
    </w:p>
    <w:p w14:paraId="3E854067">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5270CF6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F35980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B7ED72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96B9A3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101"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7E3861CD">
      <w:pPr>
        <w:widowControl/>
        <w:jc w:val="center"/>
        <w:outlineLvl w:val="0"/>
        <w:rPr>
          <w:rFonts w:hint="eastAsia" w:ascii="Times New Roman" w:hAnsi="Times New Roman" w:eastAsia="仿宋"/>
          <w:b w:val="0"/>
          <w:color w:val="auto"/>
          <w:highlight w:val="none"/>
        </w:rPr>
      </w:pPr>
      <w:bookmarkStart w:id="102" w:name="_Toc14007"/>
      <w:bookmarkStart w:id="103" w:name="_Toc27424"/>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97"/>
      <w:bookmarkEnd w:id="101"/>
      <w:bookmarkEnd w:id="102"/>
      <w:bookmarkEnd w:id="103"/>
      <w:bookmarkStart w:id="104" w:name="_Toc15396619"/>
    </w:p>
    <w:p w14:paraId="709CADEA">
      <w:pPr>
        <w:pStyle w:val="14"/>
        <w:keepNext w:val="0"/>
        <w:keepLines w:val="0"/>
        <w:pageBreakBefore w:val="0"/>
        <w:numPr>
          <w:ilvl w:val="0"/>
          <w:numId w:val="0"/>
        </w:numPr>
        <w:kinsoku/>
        <w:wordWrap/>
        <w:overflowPunct/>
        <w:topLinePunct w:val="0"/>
        <w:autoSpaceDE/>
        <w:autoSpaceDN/>
        <w:bidi w:val="0"/>
        <w:adjustRightInd w:val="0"/>
        <w:snapToGrid w:val="0"/>
        <w:spacing w:line="560" w:lineRule="exact"/>
        <w:ind w:left="420" w:leftChars="0"/>
        <w:jc w:val="left"/>
        <w:textAlignment w:val="auto"/>
        <w:rPr>
          <w:rFonts w:hint="eastAsia" w:ascii="Times New Roman" w:hAnsi="Times New Roman" w:eastAsia="仿宋_GB2312" w:cs="仿宋_GB2312"/>
          <w:color w:val="auto"/>
          <w:sz w:val="32"/>
          <w:szCs w:val="32"/>
          <w:highlight w:val="none"/>
        </w:rPr>
      </w:pPr>
    </w:p>
    <w:p w14:paraId="36585E2A">
      <w:pPr>
        <w:pStyle w:val="14"/>
        <w:keepNext w:val="0"/>
        <w:keepLines w:val="0"/>
        <w:pageBreakBefore w:val="0"/>
        <w:numPr>
          <w:ilvl w:val="0"/>
          <w:numId w:val="2"/>
        </w:numPr>
        <w:kinsoku/>
        <w:wordWrap/>
        <w:overflowPunct/>
        <w:topLinePunct w:val="0"/>
        <w:autoSpaceDE/>
        <w:autoSpaceDN/>
        <w:bidi w:val="0"/>
        <w:adjustRightInd w:val="0"/>
        <w:snapToGrid w:val="0"/>
        <w:spacing w:line="560" w:lineRule="exact"/>
        <w:ind w:left="420" w:leftChars="0" w:firstLine="0" w:firstLineChars="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收入支出决算总表</w:t>
      </w:r>
      <w:bookmarkEnd w:id="104"/>
    </w:p>
    <w:p w14:paraId="030224FC">
      <w:pPr>
        <w:pStyle w:val="14"/>
        <w:keepNext w:val="0"/>
        <w:keepLines w:val="0"/>
        <w:pageBreakBefore w:val="0"/>
        <w:numPr>
          <w:ilvl w:val="0"/>
          <w:numId w:val="2"/>
        </w:numPr>
        <w:kinsoku/>
        <w:wordWrap/>
        <w:overflowPunct/>
        <w:topLinePunct w:val="0"/>
        <w:autoSpaceDE/>
        <w:autoSpaceDN/>
        <w:bidi w:val="0"/>
        <w:adjustRightInd w:val="0"/>
        <w:snapToGrid w:val="0"/>
        <w:spacing w:line="560" w:lineRule="exact"/>
        <w:ind w:left="420" w:leftChars="0" w:firstLine="0" w:firstLineChars="0"/>
        <w:jc w:val="left"/>
        <w:textAlignment w:val="auto"/>
        <w:rPr>
          <w:rFonts w:hint="eastAsia" w:ascii="Times New Roman" w:hAnsi="Times New Roman" w:eastAsia="仿宋_GB2312" w:cs="仿宋_GB2312"/>
          <w:color w:val="auto"/>
          <w:sz w:val="32"/>
          <w:szCs w:val="32"/>
          <w:highlight w:val="none"/>
        </w:rPr>
      </w:pPr>
      <w:bookmarkStart w:id="105" w:name="_Toc15396620"/>
      <w:r>
        <w:rPr>
          <w:rFonts w:hint="eastAsia" w:ascii="Times New Roman" w:hAnsi="Times New Roman" w:eastAsia="仿宋_GB2312" w:cs="仿宋_GB2312"/>
          <w:color w:val="auto"/>
          <w:sz w:val="32"/>
          <w:szCs w:val="32"/>
          <w:highlight w:val="none"/>
        </w:rPr>
        <w:t>收入决算表</w:t>
      </w:r>
      <w:bookmarkEnd w:id="105"/>
      <w:bookmarkStart w:id="106" w:name="_Toc15396621"/>
    </w:p>
    <w:p w14:paraId="58D9A1BE">
      <w:pPr>
        <w:pStyle w:val="14"/>
        <w:keepNext w:val="0"/>
        <w:keepLines w:val="0"/>
        <w:pageBreakBefore w:val="0"/>
        <w:numPr>
          <w:ilvl w:val="0"/>
          <w:numId w:val="2"/>
        </w:numPr>
        <w:kinsoku/>
        <w:wordWrap/>
        <w:overflowPunct/>
        <w:topLinePunct w:val="0"/>
        <w:autoSpaceDE/>
        <w:autoSpaceDN/>
        <w:bidi w:val="0"/>
        <w:adjustRightInd w:val="0"/>
        <w:snapToGrid w:val="0"/>
        <w:spacing w:line="560" w:lineRule="exact"/>
        <w:ind w:left="420" w:leftChars="0" w:firstLine="0" w:firstLineChars="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支出决算表</w:t>
      </w:r>
      <w:bookmarkEnd w:id="106"/>
      <w:bookmarkStart w:id="107" w:name="_Toc15396622"/>
    </w:p>
    <w:p w14:paraId="1DF14DB0">
      <w:pPr>
        <w:pStyle w:val="14"/>
        <w:keepNext w:val="0"/>
        <w:keepLines w:val="0"/>
        <w:pageBreakBefore w:val="0"/>
        <w:numPr>
          <w:ilvl w:val="0"/>
          <w:numId w:val="2"/>
        </w:numPr>
        <w:kinsoku/>
        <w:wordWrap/>
        <w:overflowPunct/>
        <w:topLinePunct w:val="0"/>
        <w:autoSpaceDE/>
        <w:autoSpaceDN/>
        <w:bidi w:val="0"/>
        <w:adjustRightInd w:val="0"/>
        <w:snapToGrid w:val="0"/>
        <w:spacing w:line="560" w:lineRule="exact"/>
        <w:ind w:left="420" w:leftChars="0" w:firstLine="0" w:firstLineChars="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财政拨款收入支出决算总表</w:t>
      </w:r>
      <w:bookmarkEnd w:id="107"/>
      <w:bookmarkStart w:id="108" w:name="_Toc15396623"/>
    </w:p>
    <w:p w14:paraId="3AC5544D">
      <w:pPr>
        <w:pStyle w:val="14"/>
        <w:keepNext w:val="0"/>
        <w:keepLines w:val="0"/>
        <w:pageBreakBefore w:val="0"/>
        <w:numPr>
          <w:ilvl w:val="0"/>
          <w:numId w:val="2"/>
        </w:numPr>
        <w:kinsoku/>
        <w:wordWrap/>
        <w:overflowPunct/>
        <w:topLinePunct w:val="0"/>
        <w:autoSpaceDE/>
        <w:autoSpaceDN/>
        <w:bidi w:val="0"/>
        <w:adjustRightInd w:val="0"/>
        <w:snapToGrid w:val="0"/>
        <w:spacing w:line="560" w:lineRule="exact"/>
        <w:ind w:left="420" w:leftChars="0" w:firstLine="0" w:firstLineChars="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财政拨款支出决算明细表</w:t>
      </w:r>
      <w:bookmarkEnd w:id="108"/>
      <w:bookmarkStart w:id="109" w:name="_Toc15396624"/>
    </w:p>
    <w:p w14:paraId="0CC2B14C">
      <w:pPr>
        <w:pStyle w:val="14"/>
        <w:keepNext w:val="0"/>
        <w:keepLines w:val="0"/>
        <w:pageBreakBefore w:val="0"/>
        <w:numPr>
          <w:ilvl w:val="0"/>
          <w:numId w:val="2"/>
        </w:numPr>
        <w:kinsoku/>
        <w:wordWrap/>
        <w:overflowPunct/>
        <w:topLinePunct w:val="0"/>
        <w:autoSpaceDE/>
        <w:autoSpaceDN/>
        <w:bidi w:val="0"/>
        <w:adjustRightInd w:val="0"/>
        <w:snapToGrid w:val="0"/>
        <w:spacing w:line="560" w:lineRule="exact"/>
        <w:ind w:left="420" w:leftChars="0" w:firstLine="0" w:firstLineChars="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一般公共预算财政拨款支出决算表</w:t>
      </w:r>
      <w:bookmarkEnd w:id="109"/>
    </w:p>
    <w:p w14:paraId="5B4D1DE9">
      <w:pPr>
        <w:pStyle w:val="14"/>
        <w:keepNext w:val="0"/>
        <w:keepLines w:val="0"/>
        <w:pageBreakBefore w:val="0"/>
        <w:numPr>
          <w:ilvl w:val="0"/>
          <w:numId w:val="2"/>
        </w:numPr>
        <w:kinsoku/>
        <w:wordWrap/>
        <w:overflowPunct/>
        <w:topLinePunct w:val="0"/>
        <w:autoSpaceDE/>
        <w:autoSpaceDN/>
        <w:bidi w:val="0"/>
        <w:adjustRightInd w:val="0"/>
        <w:snapToGrid w:val="0"/>
        <w:spacing w:line="560" w:lineRule="exact"/>
        <w:ind w:left="420" w:leftChars="0" w:firstLine="0" w:firstLineChars="0"/>
        <w:jc w:val="left"/>
        <w:textAlignment w:val="auto"/>
        <w:rPr>
          <w:rFonts w:hint="eastAsia" w:ascii="Times New Roman" w:hAnsi="Times New Roman" w:eastAsia="仿宋_GB2312" w:cs="仿宋_GB2312"/>
          <w:color w:val="auto"/>
          <w:sz w:val="32"/>
          <w:szCs w:val="32"/>
          <w:highlight w:val="none"/>
          <w:lang w:eastAsia="zh-CN"/>
        </w:rPr>
      </w:pPr>
      <w:bookmarkStart w:id="110" w:name="_Toc15396625"/>
      <w:r>
        <w:rPr>
          <w:rFonts w:hint="eastAsia" w:ascii="Times New Roman" w:hAnsi="Times New Roman" w:eastAsia="仿宋_GB2312" w:cs="仿宋_GB2312"/>
          <w:color w:val="auto"/>
          <w:sz w:val="32"/>
          <w:szCs w:val="32"/>
          <w:highlight w:val="none"/>
          <w:lang w:eastAsia="zh-CN"/>
        </w:rPr>
        <w:t>一般公共预算财政拨款支出决算明细表</w:t>
      </w:r>
      <w:bookmarkEnd w:id="110"/>
    </w:p>
    <w:p w14:paraId="5ED84F49">
      <w:pPr>
        <w:pStyle w:val="14"/>
        <w:keepNext w:val="0"/>
        <w:keepLines w:val="0"/>
        <w:pageBreakBefore w:val="0"/>
        <w:numPr>
          <w:ilvl w:val="0"/>
          <w:numId w:val="2"/>
        </w:numPr>
        <w:kinsoku/>
        <w:wordWrap/>
        <w:overflowPunct/>
        <w:topLinePunct w:val="0"/>
        <w:autoSpaceDE/>
        <w:autoSpaceDN/>
        <w:bidi w:val="0"/>
        <w:adjustRightInd w:val="0"/>
        <w:snapToGrid w:val="0"/>
        <w:spacing w:line="560" w:lineRule="exact"/>
        <w:ind w:left="420" w:leftChars="0" w:firstLine="0" w:firstLineChars="0"/>
        <w:jc w:val="left"/>
        <w:textAlignment w:val="auto"/>
        <w:rPr>
          <w:rFonts w:hint="eastAsia" w:ascii="Times New Roman" w:hAnsi="Times New Roman" w:eastAsia="仿宋_GB2312" w:cs="仿宋_GB2312"/>
          <w:color w:val="auto"/>
          <w:sz w:val="32"/>
          <w:szCs w:val="32"/>
          <w:highlight w:val="none"/>
          <w:lang w:eastAsia="zh-CN"/>
        </w:rPr>
      </w:pPr>
      <w:bookmarkStart w:id="111" w:name="_Toc15396626"/>
      <w:r>
        <w:rPr>
          <w:rFonts w:hint="eastAsia" w:ascii="Times New Roman" w:hAnsi="Times New Roman" w:eastAsia="仿宋_GB2312" w:cs="仿宋_GB2312"/>
          <w:color w:val="auto"/>
          <w:sz w:val="32"/>
          <w:szCs w:val="32"/>
          <w:highlight w:val="none"/>
          <w:lang w:eastAsia="zh-CN"/>
        </w:rPr>
        <w:t>一般公共预算财政拨款基本支出决算表</w:t>
      </w:r>
      <w:bookmarkEnd w:id="111"/>
      <w:bookmarkStart w:id="112" w:name="_Toc15396627"/>
    </w:p>
    <w:p w14:paraId="4E16E6DC">
      <w:pPr>
        <w:pStyle w:val="14"/>
        <w:keepNext w:val="0"/>
        <w:keepLines w:val="0"/>
        <w:pageBreakBefore w:val="0"/>
        <w:numPr>
          <w:ilvl w:val="0"/>
          <w:numId w:val="2"/>
        </w:numPr>
        <w:kinsoku/>
        <w:wordWrap/>
        <w:overflowPunct/>
        <w:topLinePunct w:val="0"/>
        <w:autoSpaceDE/>
        <w:autoSpaceDN/>
        <w:bidi w:val="0"/>
        <w:adjustRightInd w:val="0"/>
        <w:snapToGrid w:val="0"/>
        <w:spacing w:line="560" w:lineRule="exact"/>
        <w:ind w:left="420" w:leftChars="0" w:firstLine="0" w:firstLineChars="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一般公共预算财政拨款项目支出决算表</w:t>
      </w:r>
      <w:bookmarkEnd w:id="112"/>
    </w:p>
    <w:p w14:paraId="4E29F83C">
      <w:pPr>
        <w:pStyle w:val="14"/>
        <w:keepNext w:val="0"/>
        <w:keepLines w:val="0"/>
        <w:pageBreakBefore w:val="0"/>
        <w:numPr>
          <w:ilvl w:val="0"/>
          <w:numId w:val="2"/>
        </w:numPr>
        <w:kinsoku/>
        <w:wordWrap/>
        <w:overflowPunct/>
        <w:topLinePunct w:val="0"/>
        <w:autoSpaceDE/>
        <w:autoSpaceDN/>
        <w:bidi w:val="0"/>
        <w:adjustRightInd w:val="0"/>
        <w:snapToGrid w:val="0"/>
        <w:spacing w:line="560" w:lineRule="exact"/>
        <w:ind w:left="420" w:leftChars="0" w:firstLine="0" w:firstLineChars="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政府性基金预算财政拨款收入支出决算表</w:t>
      </w:r>
    </w:p>
    <w:p w14:paraId="35384A6C">
      <w:pPr>
        <w:pStyle w:val="14"/>
        <w:keepNext w:val="0"/>
        <w:keepLines w:val="0"/>
        <w:pageBreakBefore w:val="0"/>
        <w:numPr>
          <w:ilvl w:val="0"/>
          <w:numId w:val="2"/>
        </w:numPr>
        <w:kinsoku/>
        <w:wordWrap/>
        <w:overflowPunct/>
        <w:topLinePunct w:val="0"/>
        <w:autoSpaceDE/>
        <w:autoSpaceDN/>
        <w:bidi w:val="0"/>
        <w:adjustRightInd w:val="0"/>
        <w:snapToGrid w:val="0"/>
        <w:spacing w:line="560" w:lineRule="exact"/>
        <w:ind w:left="420" w:leftChars="0" w:firstLine="0" w:firstLineChars="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国有资本经营预算财政拨款收入支出决算表</w:t>
      </w:r>
    </w:p>
    <w:p w14:paraId="2B913B87">
      <w:pPr>
        <w:pStyle w:val="14"/>
        <w:keepNext w:val="0"/>
        <w:keepLines w:val="0"/>
        <w:pageBreakBefore w:val="0"/>
        <w:numPr>
          <w:ilvl w:val="0"/>
          <w:numId w:val="2"/>
        </w:numPr>
        <w:kinsoku/>
        <w:wordWrap/>
        <w:overflowPunct/>
        <w:topLinePunct w:val="0"/>
        <w:autoSpaceDE/>
        <w:autoSpaceDN/>
        <w:bidi w:val="0"/>
        <w:adjustRightInd w:val="0"/>
        <w:snapToGrid w:val="0"/>
        <w:spacing w:line="560" w:lineRule="exact"/>
        <w:ind w:left="420" w:leftChars="0" w:firstLine="0" w:firstLineChars="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国有资本经营预算财政拨款支出决算表</w:t>
      </w:r>
    </w:p>
    <w:p w14:paraId="354780C1">
      <w:pPr>
        <w:pStyle w:val="14"/>
        <w:keepNext w:val="0"/>
        <w:keepLines w:val="0"/>
        <w:pageBreakBefore w:val="0"/>
        <w:numPr>
          <w:ilvl w:val="0"/>
          <w:numId w:val="2"/>
        </w:numPr>
        <w:kinsoku/>
        <w:wordWrap/>
        <w:overflowPunct/>
        <w:topLinePunct w:val="0"/>
        <w:autoSpaceDE/>
        <w:autoSpaceDN/>
        <w:bidi w:val="0"/>
        <w:adjustRightInd w:val="0"/>
        <w:snapToGrid w:val="0"/>
        <w:spacing w:line="560" w:lineRule="exact"/>
        <w:ind w:left="420" w:leftChars="0" w:firstLine="0" w:firstLineChars="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财政拨款“三公”经费支出决算表</w:t>
      </w:r>
    </w:p>
    <w:sectPr>
      <w:footerReference r:id="rId11" w:type="first"/>
      <w:footerReference r:id="rId10" w:type="default"/>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2CF82">
    <w:pPr>
      <w:pStyle w:val="11"/>
      <w:jc w:val="center"/>
    </w:pPr>
  </w:p>
  <w:p w14:paraId="461FF1DA">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4824F">
    <w:pPr>
      <w:pStyle w:val="11"/>
      <w:jc w:val="center"/>
    </w:pPr>
  </w:p>
  <w:p w14:paraId="6B62FD35">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7E370">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558B4">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12558B4">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4D10E">
    <w:pPr>
      <w:pStyle w:val="11"/>
      <w:jc w:val="center"/>
    </w:pPr>
  </w:p>
  <w:p w14:paraId="38BBE0DC">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25C4B">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38072">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E538072">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0A03203A">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AA834">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1D6218">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61D6218">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C83D1">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182A39">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B182A39">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0528460E">
    <w:pPr>
      <w:pStyle w:val="1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EB23F">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A229C9">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A229C9">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0B5AB">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3D55C"/>
    <w:multiLevelType w:val="singleLevel"/>
    <w:tmpl w:val="8423D55C"/>
    <w:lvl w:ilvl="0" w:tentative="0">
      <w:start w:val="1"/>
      <w:numFmt w:val="chineseCounting"/>
      <w:suff w:val="nothing"/>
      <w:lvlText w:val="%1、"/>
      <w:lvlJc w:val="left"/>
      <w:rPr>
        <w:rFonts w:hint="eastAsia"/>
      </w:rPr>
    </w:lvl>
  </w:abstractNum>
  <w:abstractNum w:abstractNumId="1">
    <w:nsid w:val="AF56CC3B"/>
    <w:multiLevelType w:val="multilevel"/>
    <w:tmpl w:val="AF56CC3B"/>
    <w:lvl w:ilvl="0" w:tentative="0">
      <w:start w:val="1"/>
      <w:numFmt w:val="chineseCounting"/>
      <w:suff w:val="space"/>
      <w:lvlText w:val="%1、"/>
      <w:lvlJc w:val="left"/>
      <w:pPr>
        <w:ind w:left="42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Chinese"/>
      <w:suff w:val="nothing"/>
      <w:lvlText w:val="%4"/>
      <w:lvlJc w:val="left"/>
      <w:pPr>
        <w:ind w:left="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lowerLetter"/>
      <w:suff w:val="nothing"/>
      <w:lvlText w:val="%6．"/>
      <w:lvlJc w:val="left"/>
      <w:pPr>
        <w:ind w:left="0" w:firstLine="0"/>
      </w:pPr>
      <w:rPr>
        <w:rFonts w:hint="eastAsia"/>
      </w:rPr>
    </w:lvl>
    <w:lvl w:ilvl="6" w:tentative="0">
      <w:start w:val="1"/>
      <w:numFmt w:val="lowerLetter"/>
      <w:suff w:val="nothing"/>
      <w:lvlText w:val="%7）"/>
      <w:lvlJc w:val="left"/>
      <w:pPr>
        <w:ind w:left="0" w:firstLine="0"/>
      </w:pPr>
      <w:rPr>
        <w:rFonts w:hint="eastAsia"/>
      </w:rPr>
    </w:lvl>
    <w:lvl w:ilvl="7" w:tentative="0">
      <w:start w:val="1"/>
      <w:numFmt w:val="lowerRoman"/>
      <w:suff w:val="nothing"/>
      <w:lvlText w:val="%8．"/>
      <w:lvlJc w:val="left"/>
      <w:pPr>
        <w:ind w:left="0" w:firstLine="0"/>
      </w:pPr>
      <w:rPr>
        <w:rFonts w:hint="eastAsia"/>
      </w:rPr>
    </w:lvl>
    <w:lvl w:ilvl="8" w:tentative="0">
      <w:start w:val="1"/>
      <w:numFmt w:val="lowerRoman"/>
      <w:suff w:val="nothing"/>
      <w:lvlText w:val="%9）"/>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13766F"/>
    <w:rsid w:val="02FEBE30"/>
    <w:rsid w:val="033A4CF6"/>
    <w:rsid w:val="04916F1E"/>
    <w:rsid w:val="061E35DE"/>
    <w:rsid w:val="066E0107"/>
    <w:rsid w:val="06782196"/>
    <w:rsid w:val="07996F6E"/>
    <w:rsid w:val="07DFD8BA"/>
    <w:rsid w:val="09867E8F"/>
    <w:rsid w:val="0A2032A3"/>
    <w:rsid w:val="0CA8290A"/>
    <w:rsid w:val="0CEC47C3"/>
    <w:rsid w:val="0D35B1ED"/>
    <w:rsid w:val="0E254B6B"/>
    <w:rsid w:val="0F98263C"/>
    <w:rsid w:val="101860EC"/>
    <w:rsid w:val="101F47CC"/>
    <w:rsid w:val="10C055FF"/>
    <w:rsid w:val="11694EBD"/>
    <w:rsid w:val="11772AA4"/>
    <w:rsid w:val="118107EC"/>
    <w:rsid w:val="126D2DCB"/>
    <w:rsid w:val="129C545E"/>
    <w:rsid w:val="12E24EE2"/>
    <w:rsid w:val="12F47048"/>
    <w:rsid w:val="13AC16D1"/>
    <w:rsid w:val="13D50BC4"/>
    <w:rsid w:val="14B17F78"/>
    <w:rsid w:val="165E0673"/>
    <w:rsid w:val="16B831D5"/>
    <w:rsid w:val="16BB723D"/>
    <w:rsid w:val="17E50567"/>
    <w:rsid w:val="186504BB"/>
    <w:rsid w:val="19A445FC"/>
    <w:rsid w:val="1AC52FF2"/>
    <w:rsid w:val="1BE8440E"/>
    <w:rsid w:val="1D155CEE"/>
    <w:rsid w:val="1D1638FE"/>
    <w:rsid w:val="1E312DEB"/>
    <w:rsid w:val="1E740ACF"/>
    <w:rsid w:val="1FF35744"/>
    <w:rsid w:val="1FF6BC77"/>
    <w:rsid w:val="208244E5"/>
    <w:rsid w:val="208C6B12"/>
    <w:rsid w:val="2186353C"/>
    <w:rsid w:val="21D06ED2"/>
    <w:rsid w:val="225E44DE"/>
    <w:rsid w:val="234E4D5F"/>
    <w:rsid w:val="235A09D4"/>
    <w:rsid w:val="23860B96"/>
    <w:rsid w:val="240371BF"/>
    <w:rsid w:val="244F3473"/>
    <w:rsid w:val="24C97D99"/>
    <w:rsid w:val="25A718F0"/>
    <w:rsid w:val="25BB59F6"/>
    <w:rsid w:val="260F557C"/>
    <w:rsid w:val="26970054"/>
    <w:rsid w:val="281408E2"/>
    <w:rsid w:val="28DC1003"/>
    <w:rsid w:val="29FD04D3"/>
    <w:rsid w:val="2B147E30"/>
    <w:rsid w:val="2BD870AF"/>
    <w:rsid w:val="2BFF7BC6"/>
    <w:rsid w:val="2C0A5B9C"/>
    <w:rsid w:val="2C475FE3"/>
    <w:rsid w:val="2C8A61B5"/>
    <w:rsid w:val="2DF04E50"/>
    <w:rsid w:val="2E586DFA"/>
    <w:rsid w:val="2EE10029"/>
    <w:rsid w:val="2F040D46"/>
    <w:rsid w:val="2F6B035B"/>
    <w:rsid w:val="2FAE5751"/>
    <w:rsid w:val="2FB1A395"/>
    <w:rsid w:val="2FD9A7D8"/>
    <w:rsid w:val="2FDBF714"/>
    <w:rsid w:val="30AB6865"/>
    <w:rsid w:val="319F7F4E"/>
    <w:rsid w:val="32BD1EF1"/>
    <w:rsid w:val="3304709D"/>
    <w:rsid w:val="33A773CB"/>
    <w:rsid w:val="349D6851"/>
    <w:rsid w:val="3653711E"/>
    <w:rsid w:val="36AA5135"/>
    <w:rsid w:val="36BE0DA7"/>
    <w:rsid w:val="376B6AA6"/>
    <w:rsid w:val="376D39B2"/>
    <w:rsid w:val="37E16F03"/>
    <w:rsid w:val="37F53A3B"/>
    <w:rsid w:val="389B6C89"/>
    <w:rsid w:val="38D469F0"/>
    <w:rsid w:val="39627CCD"/>
    <w:rsid w:val="397BAF1F"/>
    <w:rsid w:val="3AB79AF3"/>
    <w:rsid w:val="3AE834C0"/>
    <w:rsid w:val="3B3B15FA"/>
    <w:rsid w:val="3B7EF35A"/>
    <w:rsid w:val="3B9FDB6C"/>
    <w:rsid w:val="3BF5BC2F"/>
    <w:rsid w:val="3C8841DA"/>
    <w:rsid w:val="3CEBA265"/>
    <w:rsid w:val="3D98207C"/>
    <w:rsid w:val="3DEE7CF3"/>
    <w:rsid w:val="3E740A63"/>
    <w:rsid w:val="3E78745D"/>
    <w:rsid w:val="3EE17838"/>
    <w:rsid w:val="3F55381A"/>
    <w:rsid w:val="3F7F7599"/>
    <w:rsid w:val="3FF4CAE0"/>
    <w:rsid w:val="3FF7B227"/>
    <w:rsid w:val="42F73E67"/>
    <w:rsid w:val="437C611B"/>
    <w:rsid w:val="44630FE3"/>
    <w:rsid w:val="44E268DA"/>
    <w:rsid w:val="450D13D7"/>
    <w:rsid w:val="45506656"/>
    <w:rsid w:val="486A6C7A"/>
    <w:rsid w:val="49F66C27"/>
    <w:rsid w:val="4A627F82"/>
    <w:rsid w:val="4A8C30E7"/>
    <w:rsid w:val="4B0E749A"/>
    <w:rsid w:val="4B2477C4"/>
    <w:rsid w:val="4B4F25DA"/>
    <w:rsid w:val="4BE068DB"/>
    <w:rsid w:val="4D355CB8"/>
    <w:rsid w:val="4D577224"/>
    <w:rsid w:val="4DBF1CEB"/>
    <w:rsid w:val="4DEB35CB"/>
    <w:rsid w:val="4DF0007C"/>
    <w:rsid w:val="4EAB630A"/>
    <w:rsid w:val="4ECE2238"/>
    <w:rsid w:val="4F833267"/>
    <w:rsid w:val="4FE9BD67"/>
    <w:rsid w:val="4FFB052F"/>
    <w:rsid w:val="50DB26D2"/>
    <w:rsid w:val="525A1D1D"/>
    <w:rsid w:val="52BC6534"/>
    <w:rsid w:val="537E6D0A"/>
    <w:rsid w:val="53F74C96"/>
    <w:rsid w:val="55170BA8"/>
    <w:rsid w:val="553218C9"/>
    <w:rsid w:val="567E1AA5"/>
    <w:rsid w:val="56E47B74"/>
    <w:rsid w:val="570A5ABF"/>
    <w:rsid w:val="57175D52"/>
    <w:rsid w:val="57BD3DD4"/>
    <w:rsid w:val="5AF92295"/>
    <w:rsid w:val="5B250254"/>
    <w:rsid w:val="5BC052E6"/>
    <w:rsid w:val="5BDD79E6"/>
    <w:rsid w:val="5BF561CA"/>
    <w:rsid w:val="5BFF5DFC"/>
    <w:rsid w:val="5C2E3663"/>
    <w:rsid w:val="5CD71FC4"/>
    <w:rsid w:val="5D1F11B5"/>
    <w:rsid w:val="5D695134"/>
    <w:rsid w:val="5DAE1B18"/>
    <w:rsid w:val="5DE7D9E5"/>
    <w:rsid w:val="5ECEC941"/>
    <w:rsid w:val="5F787B5D"/>
    <w:rsid w:val="5FBF9FF3"/>
    <w:rsid w:val="5FCD4E2C"/>
    <w:rsid w:val="5FEF394A"/>
    <w:rsid w:val="5FF67715"/>
    <w:rsid w:val="62BF3928"/>
    <w:rsid w:val="63070507"/>
    <w:rsid w:val="63B3701E"/>
    <w:rsid w:val="63E333BB"/>
    <w:rsid w:val="647F5392"/>
    <w:rsid w:val="65E66580"/>
    <w:rsid w:val="664B1D71"/>
    <w:rsid w:val="664B4E8E"/>
    <w:rsid w:val="67277B67"/>
    <w:rsid w:val="679E235D"/>
    <w:rsid w:val="67AA3209"/>
    <w:rsid w:val="68866F70"/>
    <w:rsid w:val="69473065"/>
    <w:rsid w:val="698D0931"/>
    <w:rsid w:val="6A7FE5F3"/>
    <w:rsid w:val="6B053271"/>
    <w:rsid w:val="6BDD78B3"/>
    <w:rsid w:val="6BFC4839"/>
    <w:rsid w:val="6C4A05C8"/>
    <w:rsid w:val="6C8742B8"/>
    <w:rsid w:val="6DBF5E93"/>
    <w:rsid w:val="6DFF077E"/>
    <w:rsid w:val="6E1848D4"/>
    <w:rsid w:val="6E4D7356"/>
    <w:rsid w:val="6E714EF0"/>
    <w:rsid w:val="6E7E3605"/>
    <w:rsid w:val="6E7FDCC7"/>
    <w:rsid w:val="6ED6A62E"/>
    <w:rsid w:val="6EE00B15"/>
    <w:rsid w:val="6F6FB3EB"/>
    <w:rsid w:val="6F8731EA"/>
    <w:rsid w:val="6FCE6052"/>
    <w:rsid w:val="6FD57C00"/>
    <w:rsid w:val="6FEFFFD8"/>
    <w:rsid w:val="6FF5CC65"/>
    <w:rsid w:val="6FFB47EC"/>
    <w:rsid w:val="6FFF034A"/>
    <w:rsid w:val="700E61C9"/>
    <w:rsid w:val="70484440"/>
    <w:rsid w:val="70F51656"/>
    <w:rsid w:val="712A28F1"/>
    <w:rsid w:val="715C0E4B"/>
    <w:rsid w:val="71992E7C"/>
    <w:rsid w:val="72233669"/>
    <w:rsid w:val="72734D90"/>
    <w:rsid w:val="72CF2925"/>
    <w:rsid w:val="73160E6D"/>
    <w:rsid w:val="7332FE48"/>
    <w:rsid w:val="73AB61DA"/>
    <w:rsid w:val="73AD73D5"/>
    <w:rsid w:val="73B6EB34"/>
    <w:rsid w:val="73FA497D"/>
    <w:rsid w:val="744731E5"/>
    <w:rsid w:val="74583EB6"/>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ENOVO\Desktop\2024&#24180;&#24030;&#19968;&#21307;&#38498;&#20915;&#31639;&#20844;&#24320;\&#24037;&#20316;&#31807;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LENOVO\Desktop\2024&#24180;&#24030;&#19968;&#21307;&#38498;&#20915;&#31639;&#20844;&#24320;\&#24037;&#20316;&#31807;1.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LENOVO\Desktop\2024&#24180;&#24030;&#19968;&#21307;&#38498;&#20915;&#31639;&#20844;&#24320;\&#24037;&#20316;&#31807;1.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LENOVO\Desktop\2024&#24180;&#24030;&#19968;&#21307;&#38498;&#20915;&#31639;&#20844;&#24320;\&#24037;&#20316;&#31807;1.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LENOVO\Desktop\2024&#24180;&#24030;&#19968;&#21307;&#38498;&#20915;&#31639;&#20844;&#24320;\&#24037;&#20316;&#31807;1.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LENOVO\Desktop\&#24180;&#24230;&#19978;&#25253;&#36164;&#26009;\&#39044;&#20915;&#31639;&#25253;&#34920;\&#20915;&#31639;&#25253;&#34920;\2022&#24180;-2024&#24180;&#20915;&#31639;&#25253;&#34920;20250224\2024&#20937;&#23665;&#24413;&#26063;&#33258;&#27835;&#24030;&#31532;&#19968;&#20154;&#27665;&#21307;&#38498;&#20915;&#31639;&#32479;&#35745;&#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a:t>
            </a:r>
          </a:p>
        </c:rich>
      </c:tx>
      <c:layout/>
      <c:overlay val="0"/>
      <c:spPr>
        <a:noFill/>
        <a:ln>
          <a:noFill/>
        </a:ln>
        <a:effectLst/>
      </c:spPr>
    </c:title>
    <c:autoTitleDeleted val="0"/>
    <c:plotArea>
      <c:layout/>
      <c:barChart>
        <c:barDir val="col"/>
        <c:grouping val="clustered"/>
        <c:varyColors val="0"/>
        <c:ser>
          <c:idx val="0"/>
          <c:order val="0"/>
          <c:tx>
            <c:strRef>
              <c:f>[工作簿1.xlsx]Sheet1!$B$1</c:f>
              <c:strCache>
                <c:ptCount val="1"/>
                <c:pt idx="0">
                  <c:v>收入、支出总计</c:v>
                </c:pt>
              </c:strCache>
            </c:strRef>
          </c:tx>
          <c:spPr>
            <a:solidFill>
              <a:schemeClr val="accent1"/>
            </a:solidFill>
            <a:ln>
              <a:noFill/>
            </a:ln>
            <a:effectLst/>
          </c:spPr>
          <c:invertIfNegative val="0"/>
          <c:dPt>
            <c:idx val="1"/>
            <c:invertIfNegative val="0"/>
            <c:bubble3D val="0"/>
            <c:spPr>
              <a:solidFill>
                <a:srgbClr val="FFC000"/>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[工作簿1.xlsx]Sheet1!$A$2:$A$3</c:f>
              <c:strCache>
                <c:ptCount val="2"/>
                <c:pt idx="0">
                  <c:v>2023年</c:v>
                </c:pt>
                <c:pt idx="1">
                  <c:v>2024年</c:v>
                </c:pt>
              </c:strCache>
            </c:strRef>
          </c:cat>
          <c:val>
            <c:numRef>
              <c:f>[工作簿1.xlsx]Sheet1!$B$2:$B$3</c:f>
              <c:numCache>
                <c:formatCode>General</c:formatCode>
                <c:ptCount val="2"/>
                <c:pt idx="0">
                  <c:v>136156.89</c:v>
                </c:pt>
                <c:pt idx="1">
                  <c:v>147540.05</c:v>
                </c:pt>
              </c:numCache>
            </c:numRef>
          </c:val>
        </c:ser>
        <c:dLbls>
          <c:showLegendKey val="0"/>
          <c:showVal val="1"/>
          <c:showCatName val="0"/>
          <c:showSerName val="0"/>
          <c:showPercent val="0"/>
          <c:showBubbleSize val="0"/>
        </c:dLbls>
        <c:gapWidth val="246"/>
        <c:overlap val="-28"/>
        <c:axId val="525521670"/>
        <c:axId val="466593970"/>
      </c:barChart>
      <c:catAx>
        <c:axId val="52552167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6593970"/>
        <c:crosses val="autoZero"/>
        <c:auto val="1"/>
        <c:lblAlgn val="ctr"/>
        <c:lblOffset val="100"/>
        <c:noMultiLvlLbl val="0"/>
      </c:catAx>
      <c:valAx>
        <c:axId val="46659397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552167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26a2143-2725-4421-89be-f7fbd82d02d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203289473684211"/>
                  <c:y val="0.121527777777778"/>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159868421052632"/>
                  <c:y val="0.315972222222222"/>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118421052631579"/>
                  <c:y val="-0.357638888888889"/>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169736842105263"/>
                  <c:y val="0.03125"/>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[工作簿1.xlsx]Sheet2!$A$1:$A$4</c:f>
              <c:strCache>
                <c:ptCount val="4"/>
                <c:pt idx="0">
                  <c:v>一般公共预算财政拨款收入</c:v>
                </c:pt>
                <c:pt idx="1">
                  <c:v>政府性基金预算财政拨款收入</c:v>
                </c:pt>
                <c:pt idx="2">
                  <c:v>事业收入</c:v>
                </c:pt>
                <c:pt idx="3">
                  <c:v>其他收入</c:v>
                </c:pt>
              </c:strCache>
            </c:strRef>
          </c:cat>
          <c:val>
            <c:numRef>
              <c:f>[工作簿1.xlsx]Sheet2!$B$1:$B$4</c:f>
              <c:numCache>
                <c:formatCode>0.00_ </c:formatCode>
                <c:ptCount val="4"/>
                <c:pt idx="0">
                  <c:v>14024.049692</c:v>
                </c:pt>
                <c:pt idx="1">
                  <c:v>9300</c:v>
                </c:pt>
                <c:pt idx="2">
                  <c:v>115191.47336</c:v>
                </c:pt>
                <c:pt idx="3">
                  <c:v>2564.448926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0592763157894737"/>
          <c:y val="0.912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65d3622-06f0-4f76-92da-fa0cbb9f2af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157894736842105"/>
                  <c:y val="-0.15625"/>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104605263157895"/>
                  <c:y val="0.173611111111111"/>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213157894736842"/>
                  <c:y val="0.0694444444444444"/>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1875"/>
                  <c:y val="0.0555555555555556"/>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4"/>
              <c:layout>
                <c:manualLayout>
                  <c:x val="0.252631578947368"/>
                  <c:y val="0.239583333333333"/>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[工作簿1.xlsx]Sheet3!$A$1:$A$5</c:f>
              <c:strCache>
                <c:ptCount val="5"/>
                <c:pt idx="0">
                  <c:v>基本支出</c:v>
                </c:pt>
                <c:pt idx="1">
                  <c:v>项目支出</c:v>
                </c:pt>
                <c:pt idx="2">
                  <c:v>上缴上级支出</c:v>
                </c:pt>
                <c:pt idx="3">
                  <c:v>经营支出</c:v>
                </c:pt>
                <c:pt idx="4">
                  <c:v>对附属单位补助支出</c:v>
                </c:pt>
              </c:strCache>
            </c:strRef>
          </c:cat>
          <c:val>
            <c:numRef>
              <c:f>[工作簿1.xlsx]Sheet3!$B$1:$B$5</c:f>
              <c:numCache>
                <c:formatCode>0.00_ </c:formatCode>
                <c:ptCount val="5"/>
                <c:pt idx="0">
                  <c:v>125416.156221</c:v>
                </c:pt>
                <c:pt idx="1">
                  <c:v>22123.894427</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172c31d-fc46-4718-9596-9aac555b38b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[工作簿1.xlsx]Sheet4!$B$1</c:f>
              <c:strCache>
                <c:ptCount val="1"/>
                <c:pt idx="0">
                  <c:v>财政拨款收入、支出总计</c:v>
                </c:pt>
              </c:strCache>
            </c:strRef>
          </c:tx>
          <c:spPr>
            <a:solidFill>
              <a:schemeClr val="accent1"/>
            </a:solidFill>
            <a:ln>
              <a:noFill/>
            </a:ln>
            <a:effectLst/>
          </c:spPr>
          <c:invertIfNegative val="0"/>
          <c:dPt>
            <c:idx val="1"/>
            <c:invertIfNegative val="0"/>
            <c:bubble3D val="0"/>
            <c:spPr>
              <a:solidFill>
                <a:srgbClr val="FFC000"/>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[工作簿1.xlsx]Sheet4!$A$2:$A$3</c:f>
              <c:strCache>
                <c:ptCount val="2"/>
                <c:pt idx="0">
                  <c:v>2023年</c:v>
                </c:pt>
                <c:pt idx="1">
                  <c:v>2024年</c:v>
                </c:pt>
              </c:strCache>
            </c:strRef>
          </c:cat>
          <c:val>
            <c:numRef>
              <c:f>[工作簿1.xlsx]Sheet4!$B$2:$B$3</c:f>
              <c:numCache>
                <c:formatCode>General</c:formatCode>
                <c:ptCount val="2"/>
                <c:pt idx="0">
                  <c:v>25298.86</c:v>
                </c:pt>
                <c:pt idx="1">
                  <c:v>23324.05</c:v>
                </c:pt>
              </c:numCache>
            </c:numRef>
          </c:val>
        </c:ser>
        <c:dLbls>
          <c:showLegendKey val="0"/>
          <c:showVal val="1"/>
          <c:showCatName val="0"/>
          <c:showSerName val="0"/>
          <c:showPercent val="0"/>
          <c:showBubbleSize val="0"/>
        </c:dLbls>
        <c:gapWidth val="246"/>
        <c:overlap val="-28"/>
        <c:axId val="780411489"/>
        <c:axId val="617085212"/>
      </c:barChart>
      <c:catAx>
        <c:axId val="78041148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7085212"/>
        <c:crosses val="autoZero"/>
        <c:auto val="1"/>
        <c:lblAlgn val="ctr"/>
        <c:lblOffset val="100"/>
        <c:noMultiLvlLbl val="0"/>
      </c:catAx>
      <c:valAx>
        <c:axId val="61708521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041148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65140da-a600-4a00-b751-3209855b165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[工作簿1.xlsx]Sheet5!$B$1</c:f>
              <c:strCache>
                <c:ptCount val="1"/>
                <c:pt idx="0">
                  <c:v>一般公共预算财政拨款支出</c:v>
                </c:pt>
              </c:strCache>
            </c:strRef>
          </c:tx>
          <c:spPr>
            <a:solidFill>
              <a:schemeClr val="accent1"/>
            </a:solidFill>
            <a:ln>
              <a:noFill/>
            </a:ln>
            <a:effectLst/>
          </c:spPr>
          <c:invertIfNegative val="0"/>
          <c:dPt>
            <c:idx val="1"/>
            <c:invertIfNegative val="0"/>
            <c:bubble3D val="0"/>
            <c:spPr>
              <a:solidFill>
                <a:srgbClr val="FFC000"/>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[工作簿1.xlsx]Sheet5!$A$2:$A$3</c:f>
              <c:strCache>
                <c:ptCount val="2"/>
                <c:pt idx="0">
                  <c:v>2023年</c:v>
                </c:pt>
                <c:pt idx="1">
                  <c:v>2024年</c:v>
                </c:pt>
              </c:strCache>
            </c:strRef>
          </c:cat>
          <c:val>
            <c:numRef>
              <c:f>[工作簿1.xlsx]Sheet5!$B$2:$B$3</c:f>
              <c:numCache>
                <c:formatCode>General</c:formatCode>
                <c:ptCount val="2"/>
                <c:pt idx="0">
                  <c:v>25298.86</c:v>
                </c:pt>
                <c:pt idx="1">
                  <c:v>14024.05</c:v>
                </c:pt>
              </c:numCache>
            </c:numRef>
          </c:val>
        </c:ser>
        <c:dLbls>
          <c:showLegendKey val="0"/>
          <c:showVal val="1"/>
          <c:showCatName val="0"/>
          <c:showSerName val="0"/>
          <c:showPercent val="0"/>
          <c:showBubbleSize val="0"/>
        </c:dLbls>
        <c:gapWidth val="246"/>
        <c:overlap val="-28"/>
        <c:axId val="478049893"/>
        <c:axId val="265974957"/>
      </c:barChart>
      <c:catAx>
        <c:axId val="47804989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5974957"/>
        <c:crosses val="autoZero"/>
        <c:auto val="1"/>
        <c:lblAlgn val="ctr"/>
        <c:lblOffset val="100"/>
        <c:noMultiLvlLbl val="0"/>
      </c:catAx>
      <c:valAx>
        <c:axId val="26597495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804989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1d4d00d-de9b-4bd9-95e3-a231798e1a8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2"/>
              <c:layout/>
              <c:dLblPos val="inEnd"/>
              <c:showLegendKey val="0"/>
              <c:showVal val="0"/>
              <c:showCatName val="0"/>
              <c:showSerName val="0"/>
              <c:showPercent val="1"/>
              <c:showBubbleSize val="0"/>
              <c:extLst>
                <c:ext xmlns:c15="http://schemas.microsoft.com/office/drawing/2012/chart" uri="{CE6537A1-D6FC-4f65-9D91-7224C49458BB}">
                  <c15:layout>
                    <c:manualLayout>
                      <c:w val="0.0953947368421053"/>
                      <c:h val="0.109778597785978"/>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'[2024凉山彝族自治州第一人民医院决算统计表.xls]Z08 一般公共预算财政拨款支出决算明细表'!$D$43:$D$47</c:f>
              <c:strCache>
                <c:ptCount val="5"/>
                <c:pt idx="0">
                  <c:v>一般公共服务支出</c:v>
                </c:pt>
                <c:pt idx="1">
                  <c:v>科学技术支出</c:v>
                </c:pt>
                <c:pt idx="2">
                  <c:v>社会保障和就业支出</c:v>
                </c:pt>
                <c:pt idx="3">
                  <c:v>卫生健康支出</c:v>
                </c:pt>
                <c:pt idx="4">
                  <c:v>节能环保支出</c:v>
                </c:pt>
              </c:strCache>
            </c:strRef>
          </c:cat>
          <c:val>
            <c:numRef>
              <c:f>'[2024凉山彝族自治州第一人民医院决算统计表.xls]Z08 一般公共预算财政拨款支出决算明细表'!$E$43:$E$47</c:f>
              <c:numCache>
                <c:formatCode>0.00%</c:formatCode>
                <c:ptCount val="5"/>
                <c:pt idx="0">
                  <c:v>0.000142612158679165</c:v>
                </c:pt>
                <c:pt idx="1">
                  <c:v>0.000196800714530725</c:v>
                </c:pt>
                <c:pt idx="2">
                  <c:v>0.212432350528497</c:v>
                </c:pt>
                <c:pt idx="3">
                  <c:v>0.78654208671924</c:v>
                </c:pt>
                <c:pt idx="4">
                  <c:v>0.000686149879053067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c6edda4-4f4a-46ea-b65e-c8057e1384c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7097</Words>
  <Characters>7730</Characters>
  <Lines>61</Lines>
  <Paragraphs>17</Paragraphs>
  <TotalTime>258</TotalTime>
  <ScaleCrop>false</ScaleCrop>
  <LinksUpToDate>false</LinksUpToDate>
  <CharactersWithSpaces>7937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涂天菊</cp:lastModifiedBy>
  <cp:lastPrinted>2025-09-22T03:12:00Z</cp:lastPrinted>
  <dcterms:modified xsi:type="dcterms:W3CDTF">2025-09-24T02:43:30Z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4630EDB0C258474B81FC74EDDCA8B555_13</vt:lpwstr>
  </property>
  <property fmtid="{D5CDD505-2E9C-101B-9397-08002B2CF9AE}" pid="4" name="KSOTemplateDocerSaveRecord">
    <vt:lpwstr>eyJoZGlkIjoiOWJlOWViN2EwYmNjYTRhY2RjNTNlYzc2YjQ2MmM0Y2EiLCJ1c2VySWQiOiI0MDU5MTQ1MzkifQ==</vt:lpwstr>
  </property>
</Properties>
</file>